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2265F" w14:textId="77777777" w:rsidR="00CA53DB" w:rsidRPr="00F037F8" w:rsidRDefault="00CA53DB" w:rsidP="000516E4">
      <w:pPr>
        <w:pStyle w:val="Heading1"/>
        <w:spacing w:before="0" w:after="0"/>
        <w:rPr>
          <w:rFonts w:ascii="Arial Black" w:hAnsi="Arial Black"/>
        </w:rPr>
      </w:pPr>
      <w:r w:rsidRPr="00F037F8">
        <w:rPr>
          <w:rFonts w:ascii="Arial Black" w:hAnsi="Arial Black"/>
        </w:rPr>
        <w:t>core metrics</w:t>
      </w:r>
    </w:p>
    <w:p w14:paraId="4356DFDB" w14:textId="77777777" w:rsidR="00CA53DB" w:rsidRDefault="00CA53DB" w:rsidP="00F36C6B">
      <w:pPr>
        <w:pBdr>
          <w:bottom w:val="single" w:sz="6" w:space="1" w:color="auto"/>
        </w:pBdr>
        <w:spacing w:after="0"/>
        <w:rPr>
          <w:b/>
          <w:sz w:val="8"/>
        </w:rPr>
      </w:pPr>
    </w:p>
    <w:p w14:paraId="76D6AA20" w14:textId="77777777" w:rsidR="00CA53DB" w:rsidRDefault="00CA53DB" w:rsidP="00A20A27">
      <w:pPr>
        <w:tabs>
          <w:tab w:val="right" w:pos="8640"/>
        </w:tabs>
        <w:rPr>
          <w:sz w:val="24"/>
          <w:szCs w:val="24"/>
        </w:rPr>
      </w:pPr>
      <w:r w:rsidRPr="00F36C6B">
        <w:rPr>
          <w:sz w:val="24"/>
          <w:szCs w:val="24"/>
        </w:rPr>
        <w:t>235 Van Winkle St., East Rutherford, NJ  07073</w:t>
      </w:r>
      <w:r w:rsidRPr="00F36C6B">
        <w:rPr>
          <w:sz w:val="24"/>
          <w:szCs w:val="24"/>
        </w:rPr>
        <w:tab/>
        <w:t>(201) 340-4541</w:t>
      </w:r>
    </w:p>
    <w:p w14:paraId="462D48EF" w14:textId="77777777" w:rsidR="00AC2329" w:rsidRDefault="00AC2329" w:rsidP="00AC2329">
      <w:pPr>
        <w:tabs>
          <w:tab w:val="right" w:pos="8640"/>
        </w:tabs>
        <w:spacing w:after="0" w:line="360" w:lineRule="auto"/>
      </w:pPr>
    </w:p>
    <w:p w14:paraId="13E085A9" w14:textId="77777777" w:rsidR="00177C2D" w:rsidRPr="00FD7772" w:rsidRDefault="00177C2D" w:rsidP="00AC2329">
      <w:pPr>
        <w:tabs>
          <w:tab w:val="right" w:pos="8640"/>
        </w:tabs>
        <w:spacing w:after="0" w:line="360" w:lineRule="auto"/>
      </w:pPr>
    </w:p>
    <w:p w14:paraId="577DA9B0" w14:textId="1BA025B1" w:rsidR="00791C19" w:rsidRPr="00FD7772" w:rsidRDefault="00A633F5" w:rsidP="00791C19">
      <w:pPr>
        <w:tabs>
          <w:tab w:val="right" w:pos="8640"/>
        </w:tabs>
        <w:spacing w:after="0" w:line="360" w:lineRule="auto"/>
        <w:jc w:val="center"/>
      </w:pPr>
      <w:r w:rsidRPr="00FD7772">
        <w:t>PREPARED</w:t>
      </w:r>
      <w:r w:rsidR="00791C19" w:rsidRPr="00FD7772">
        <w:t xml:space="preserve"> STATEMENT BY FRANKLIN NEUBAUER</w:t>
      </w:r>
    </w:p>
    <w:p w14:paraId="53A77A81" w14:textId="649749EC" w:rsidR="00791C19" w:rsidRPr="00FD7772" w:rsidRDefault="00791C19" w:rsidP="00791C19">
      <w:pPr>
        <w:tabs>
          <w:tab w:val="right" w:pos="8640"/>
        </w:tabs>
        <w:spacing w:after="0" w:line="360" w:lineRule="auto"/>
        <w:jc w:val="center"/>
      </w:pPr>
      <w:r w:rsidRPr="00FD7772">
        <w:t>NEW JERSEY ENERGY MASTER PLAN HEARING – AUGUST 2015</w:t>
      </w:r>
    </w:p>
    <w:p w14:paraId="1DCA8A89" w14:textId="77777777" w:rsidR="00791C19" w:rsidRDefault="00791C19" w:rsidP="00791C19">
      <w:pPr>
        <w:tabs>
          <w:tab w:val="right" w:pos="8640"/>
        </w:tabs>
        <w:spacing w:after="0" w:line="360" w:lineRule="auto"/>
        <w:jc w:val="left"/>
      </w:pPr>
    </w:p>
    <w:p w14:paraId="277451E1" w14:textId="77777777" w:rsidR="00177C2D" w:rsidRPr="00FD7772" w:rsidRDefault="00177C2D" w:rsidP="00791C19">
      <w:pPr>
        <w:tabs>
          <w:tab w:val="right" w:pos="8640"/>
        </w:tabs>
        <w:spacing w:after="0" w:line="360" w:lineRule="auto"/>
        <w:jc w:val="left"/>
      </w:pPr>
    </w:p>
    <w:p w14:paraId="7E3168C8" w14:textId="6A655311" w:rsidR="00791C19" w:rsidRPr="00FD7772" w:rsidRDefault="006830F4" w:rsidP="00791C19">
      <w:pPr>
        <w:tabs>
          <w:tab w:val="right" w:pos="8640"/>
        </w:tabs>
        <w:spacing w:after="0" w:line="360" w:lineRule="auto"/>
        <w:jc w:val="left"/>
      </w:pPr>
      <w:r w:rsidRPr="00FD7772">
        <w:t>I am Franklin Neubauer</w:t>
      </w:r>
      <w:r w:rsidR="00BB0FDD" w:rsidRPr="00FD7772">
        <w:t>, Principal</w:t>
      </w:r>
      <w:r w:rsidRPr="00FD7772">
        <w:t xml:space="preserve"> </w:t>
      </w:r>
      <w:r w:rsidR="00FA7E9A" w:rsidRPr="00FD7772">
        <w:t>at</w:t>
      </w:r>
      <w:r w:rsidRPr="00FD7772">
        <w:t xml:space="preserve"> Core Metrics. </w:t>
      </w:r>
      <w:r w:rsidR="00B37C67" w:rsidRPr="00FD7772">
        <w:t xml:space="preserve">I have </w:t>
      </w:r>
      <w:r w:rsidR="00BB0FDD" w:rsidRPr="00FD7772">
        <w:t>eleven</w:t>
      </w:r>
      <w:r w:rsidR="00B37C67" w:rsidRPr="00FD7772">
        <w:t xml:space="preserve"> </w:t>
      </w:r>
      <w:r w:rsidR="00D11581" w:rsidRPr="00FD7772">
        <w:t>years’ experience</w:t>
      </w:r>
      <w:r w:rsidR="00B37C67" w:rsidRPr="00FD7772">
        <w:t xml:space="preserve"> in energy efficiency planning</w:t>
      </w:r>
      <w:r w:rsidR="00A633F5" w:rsidRPr="00FD7772">
        <w:t xml:space="preserve">, </w:t>
      </w:r>
      <w:r w:rsidR="009A7B93" w:rsidRPr="00FD7772">
        <w:t xml:space="preserve">energy </w:t>
      </w:r>
      <w:r w:rsidR="00A633F5" w:rsidRPr="00FD7772">
        <w:t>modeling</w:t>
      </w:r>
      <w:r w:rsidR="00B37C67" w:rsidRPr="00FD7772">
        <w:t xml:space="preserve"> and demand analysis. </w:t>
      </w:r>
      <w:r w:rsidR="00646E73" w:rsidRPr="00FD7772">
        <w:t xml:space="preserve">I </w:t>
      </w:r>
      <w:r w:rsidR="005774F4" w:rsidRPr="00FD7772">
        <w:t>contributed to</w:t>
      </w:r>
      <w:r w:rsidR="00646E73" w:rsidRPr="00FD7772">
        <w:t xml:space="preserve"> regional power plan</w:t>
      </w:r>
      <w:r w:rsidR="005774F4" w:rsidRPr="00FD7772">
        <w:t>s</w:t>
      </w:r>
      <w:r w:rsidR="00092C21">
        <w:t>, and analyzed utility plans</w:t>
      </w:r>
      <w:r w:rsidR="004611FB">
        <w:t xml:space="preserve"> to identify problems</w:t>
      </w:r>
      <w:r w:rsidR="00646E73" w:rsidRPr="00FD7772">
        <w:t>.</w:t>
      </w:r>
      <w:r w:rsidR="00BB0FDD" w:rsidRPr="00FD7772">
        <w:t xml:space="preserve"> I will address </w:t>
      </w:r>
      <w:r w:rsidR="00E378D8">
        <w:t xml:space="preserve">key </w:t>
      </w:r>
      <w:r w:rsidR="00BC5A67">
        <w:t>issues</w:t>
      </w:r>
      <w:r w:rsidR="00BB0FDD" w:rsidRPr="00FD7772">
        <w:t xml:space="preserve"> </w:t>
      </w:r>
      <w:r w:rsidR="00691C7D">
        <w:t>in</w:t>
      </w:r>
      <w:r w:rsidR="00BB0FDD" w:rsidRPr="00FD7772">
        <w:t xml:space="preserve"> energy efficiency planning</w:t>
      </w:r>
      <w:r w:rsidR="00BC5A67">
        <w:t xml:space="preserve"> and forecasting, and estimate the economic impact of failing to pursue more energy efficiency</w:t>
      </w:r>
      <w:r w:rsidR="00BB0FDD" w:rsidRPr="00FD7772">
        <w:t>.</w:t>
      </w:r>
      <w:r w:rsidR="00831FF2" w:rsidRPr="00FD7772">
        <w:t xml:space="preserve"> I </w:t>
      </w:r>
      <w:r w:rsidR="00903E80">
        <w:t xml:space="preserve">will </w:t>
      </w:r>
      <w:r w:rsidR="00133459" w:rsidRPr="00FD7772">
        <w:t>have handouts</w:t>
      </w:r>
      <w:r w:rsidR="00831FF2" w:rsidRPr="00FD7772">
        <w:t xml:space="preserve"> </w:t>
      </w:r>
      <w:r w:rsidR="00516086">
        <w:t xml:space="preserve">later </w:t>
      </w:r>
      <w:r w:rsidR="00574E65">
        <w:t xml:space="preserve">with </w:t>
      </w:r>
      <w:r w:rsidR="00516086">
        <w:t xml:space="preserve">footnotes and </w:t>
      </w:r>
      <w:r w:rsidR="00574E65">
        <w:t>references</w:t>
      </w:r>
      <w:r w:rsidR="00831FF2" w:rsidRPr="00FD7772">
        <w:t>.</w:t>
      </w:r>
    </w:p>
    <w:p w14:paraId="2197A255" w14:textId="77777777" w:rsidR="005D709C" w:rsidRPr="00FD7772" w:rsidRDefault="005D709C" w:rsidP="00791C19">
      <w:pPr>
        <w:tabs>
          <w:tab w:val="right" w:pos="8640"/>
        </w:tabs>
        <w:spacing w:after="0" w:line="360" w:lineRule="auto"/>
        <w:jc w:val="left"/>
      </w:pPr>
    </w:p>
    <w:p w14:paraId="79EF715B" w14:textId="3A319117" w:rsidR="003C0271" w:rsidRDefault="008E618C" w:rsidP="009B1575">
      <w:pPr>
        <w:tabs>
          <w:tab w:val="right" w:pos="8640"/>
        </w:tabs>
        <w:spacing w:after="0" w:line="360" w:lineRule="auto"/>
        <w:jc w:val="left"/>
      </w:pPr>
      <w:r w:rsidRPr="00FD7772">
        <w:t xml:space="preserve">New Jersey has not had </w:t>
      </w:r>
      <w:r w:rsidR="00A633F5" w:rsidRPr="00FD7772">
        <w:t>clear</w:t>
      </w:r>
      <w:r w:rsidRPr="00FD7772">
        <w:t>,</w:t>
      </w:r>
      <w:r w:rsidR="006828C3" w:rsidRPr="00FD7772">
        <w:t xml:space="preserve"> </w:t>
      </w:r>
      <w:r w:rsidRPr="00FD7772">
        <w:t xml:space="preserve">long-term, energy efficiency goals </w:t>
      </w:r>
      <w:r w:rsidR="006828C3" w:rsidRPr="00FD7772">
        <w:t>since 2011</w:t>
      </w:r>
      <w:r w:rsidRPr="00FD7772">
        <w:t>. The Administration blurr</w:t>
      </w:r>
      <w:r w:rsidR="00A633F5" w:rsidRPr="00FD7772">
        <w:t>ed</w:t>
      </w:r>
      <w:r w:rsidR="005628F3" w:rsidRPr="00FD7772">
        <w:t xml:space="preserve"> a </w:t>
      </w:r>
      <w:r w:rsidR="000C343C" w:rsidRPr="00FD7772">
        <w:t>distinction</w:t>
      </w:r>
      <w:r w:rsidRPr="00FD7772">
        <w:t xml:space="preserve"> </w:t>
      </w:r>
      <w:r w:rsidR="005B6483">
        <w:t>that analysts</w:t>
      </w:r>
      <w:r w:rsidRPr="00FD7772">
        <w:t xml:space="preserve"> make between savings from energy efficiency</w:t>
      </w:r>
      <w:r w:rsidR="00EF0671" w:rsidRPr="00FD7772">
        <w:t xml:space="preserve"> (EE)</w:t>
      </w:r>
      <w:r w:rsidRPr="00FD7772">
        <w:t xml:space="preserve"> </w:t>
      </w:r>
      <w:r w:rsidR="00D11581" w:rsidRPr="00FD7772">
        <w:t>programs,</w:t>
      </w:r>
      <w:r w:rsidRPr="00FD7772">
        <w:t xml:space="preserve"> and lower </w:t>
      </w:r>
      <w:r w:rsidR="00C634DE" w:rsidRPr="00FD7772">
        <w:t xml:space="preserve">power system </w:t>
      </w:r>
      <w:r w:rsidRPr="00FD7772">
        <w:t xml:space="preserve">loads </w:t>
      </w:r>
      <w:r w:rsidR="00A633F5" w:rsidRPr="00FD7772">
        <w:t>due to other causes</w:t>
      </w:r>
      <w:r w:rsidR="00B90904" w:rsidRPr="00FD7772">
        <w:t>.</w:t>
      </w:r>
      <w:r w:rsidR="00A633F5" w:rsidRPr="00FD7772">
        <w:t xml:space="preserve"> </w:t>
      </w:r>
      <w:r w:rsidR="001E2ED6">
        <w:t>It</w:t>
      </w:r>
      <w:r w:rsidR="00E378D8">
        <w:t xml:space="preserve"> </w:t>
      </w:r>
      <w:r w:rsidR="00092C21">
        <w:t>was</w:t>
      </w:r>
      <w:r w:rsidR="00E378D8">
        <w:t xml:space="preserve"> after</w:t>
      </w:r>
      <w:r w:rsidR="00DF3444" w:rsidRPr="00FD7772">
        <w:t xml:space="preserve"> the recession</w:t>
      </w:r>
      <w:r w:rsidR="00E378D8">
        <w:t>. T</w:t>
      </w:r>
      <w:r w:rsidR="00B90904" w:rsidRPr="00FD7772">
        <w:t xml:space="preserve">he </w:t>
      </w:r>
      <w:r w:rsidR="00AC236E" w:rsidRPr="00FD7772">
        <w:t xml:space="preserve">2011 </w:t>
      </w:r>
      <w:r w:rsidR="00B90904" w:rsidRPr="00FD7772">
        <w:t xml:space="preserve">master plan </w:t>
      </w:r>
      <w:r w:rsidR="00723913" w:rsidRPr="00FD7772">
        <w:t>said,</w:t>
      </w:r>
      <w:r w:rsidR="00B90904" w:rsidRPr="00FD7772">
        <w:t xml:space="preserve"> “The State’s energy use goal remains the same as the 2008 EMP, but the 2020 target now represents a smaller percentage reduction relative to the mo</w:t>
      </w:r>
      <w:r w:rsidR="00BB0FDD" w:rsidRPr="00FD7772">
        <w:t>s</w:t>
      </w:r>
      <w:r w:rsidR="00B90904" w:rsidRPr="00FD7772">
        <w:t>t recent PJM forecast.</w:t>
      </w:r>
      <w:r w:rsidR="009B1575" w:rsidRPr="00FD7772">
        <w:t>”</w:t>
      </w:r>
      <w:r w:rsidR="004B5C03" w:rsidRPr="00FD7772">
        <w:rPr>
          <w:rStyle w:val="FootnoteReference"/>
        </w:rPr>
        <w:footnoteReference w:id="1"/>
      </w:r>
      <w:r w:rsidR="004B5C03" w:rsidRPr="00FD7772">
        <w:t xml:space="preserve"> </w:t>
      </w:r>
      <w:r w:rsidR="00557675" w:rsidRPr="00FD7772">
        <w:t xml:space="preserve">The Administration </w:t>
      </w:r>
      <w:r w:rsidR="009F0915">
        <w:t xml:space="preserve">pointed </w:t>
      </w:r>
      <w:r w:rsidR="00557675" w:rsidRPr="00FD7772">
        <w:t xml:space="preserve">to declining </w:t>
      </w:r>
      <w:r w:rsidR="00FC194A" w:rsidRPr="00FD7772">
        <w:t>PJM</w:t>
      </w:r>
      <w:r w:rsidR="00557675" w:rsidRPr="00FD7772">
        <w:t xml:space="preserve"> forecasts, but it </w:t>
      </w:r>
      <w:r w:rsidR="00B90904" w:rsidRPr="00FD7772">
        <w:t xml:space="preserve">failed to look at PJM’s data, or it deliberately misled the public about the aggressiveness of the energy savings goal. </w:t>
      </w:r>
      <w:r w:rsidR="007462C2" w:rsidRPr="00FD7772">
        <w:t xml:space="preserve">2011 </w:t>
      </w:r>
      <w:r w:rsidR="009B1575" w:rsidRPr="00FD7772">
        <w:t>data revealed a major drop in the electric load forecast</w:t>
      </w:r>
      <w:r w:rsidR="00B077BF">
        <w:t xml:space="preserve"> (12,734 GWH)</w:t>
      </w:r>
      <w:r w:rsidR="009B1575" w:rsidRPr="00FD7772">
        <w:t xml:space="preserve">, </w:t>
      </w:r>
      <w:r w:rsidR="00557675" w:rsidRPr="00FD7772">
        <w:t>implying</w:t>
      </w:r>
      <w:r w:rsidR="009B1575" w:rsidRPr="00FD7772">
        <w:t xml:space="preserve"> New Jersey </w:t>
      </w:r>
      <w:r w:rsidR="00B077BF">
        <w:t>would cut its target for</w:t>
      </w:r>
      <w:r w:rsidR="00582BD2" w:rsidRPr="00FD7772">
        <w:t xml:space="preserve"> </w:t>
      </w:r>
      <w:r w:rsidR="00092C21">
        <w:t>energy</w:t>
      </w:r>
      <w:r w:rsidR="00EF0671" w:rsidRPr="00FD7772">
        <w:t xml:space="preserve"> </w:t>
      </w:r>
      <w:r w:rsidR="00582BD2" w:rsidRPr="00FD7772">
        <w:t xml:space="preserve">program savings </w:t>
      </w:r>
      <w:r w:rsidR="009B1575" w:rsidRPr="00FD7772">
        <w:t xml:space="preserve">by </w:t>
      </w:r>
      <w:r w:rsidR="00B077BF">
        <w:t>the same amount</w:t>
      </w:r>
      <w:r w:rsidR="00E716EE">
        <w:t>.</w:t>
      </w:r>
      <w:bookmarkStart w:id="0" w:name="_GoBack"/>
      <w:bookmarkEnd w:id="0"/>
      <w:r w:rsidR="002228D8">
        <w:t xml:space="preserve"> That would</w:t>
      </w:r>
      <w:r w:rsidR="00B077BF">
        <w:t xml:space="preserve"> effectively cut future energy efficiency programs by </w:t>
      </w:r>
      <w:r w:rsidR="009B1575" w:rsidRPr="00FD7772">
        <w:t>85%.</w:t>
      </w:r>
      <w:r w:rsidR="005774F4" w:rsidRPr="00FD7772">
        <w:rPr>
          <w:rStyle w:val="FootnoteReference"/>
        </w:rPr>
        <w:footnoteReference w:id="2"/>
      </w:r>
      <w:r w:rsidR="009B1575" w:rsidRPr="00FD7772">
        <w:t xml:space="preserve"> </w:t>
      </w:r>
      <w:r w:rsidR="00557675" w:rsidRPr="00FD7772">
        <w:t>I explained this</w:t>
      </w:r>
      <w:r w:rsidR="004B4880" w:rsidRPr="00FD7772">
        <w:t xml:space="preserve"> </w:t>
      </w:r>
      <w:r w:rsidR="00BB0FDD" w:rsidRPr="00FD7772">
        <w:t xml:space="preserve">consequence of </w:t>
      </w:r>
      <w:r w:rsidR="005B54BF" w:rsidRPr="00FD7772">
        <w:t>PJM’s</w:t>
      </w:r>
      <w:r w:rsidR="00BB0FDD" w:rsidRPr="00FD7772">
        <w:t xml:space="preserve"> forecast</w:t>
      </w:r>
      <w:r w:rsidR="009F27DC" w:rsidRPr="00FD7772">
        <w:t xml:space="preserve"> in </w:t>
      </w:r>
      <w:r w:rsidR="00092C21">
        <w:t>EMP</w:t>
      </w:r>
      <w:r w:rsidR="00EE584A" w:rsidRPr="00FD7772">
        <w:t xml:space="preserve"> </w:t>
      </w:r>
      <w:r w:rsidR="009B1575" w:rsidRPr="00FD7772">
        <w:t xml:space="preserve">comments </w:t>
      </w:r>
      <w:r w:rsidR="009F27DC" w:rsidRPr="00FD7772">
        <w:t>on</w:t>
      </w:r>
      <w:r w:rsidR="009B1575" w:rsidRPr="00FD7772">
        <w:t xml:space="preserve"> </w:t>
      </w:r>
      <w:r w:rsidR="00BB0FDD" w:rsidRPr="00FD7772">
        <w:t>August 25</w:t>
      </w:r>
      <w:r w:rsidR="005B54BF" w:rsidRPr="00FD7772">
        <w:t>, 2011</w:t>
      </w:r>
      <w:r w:rsidR="009B1575" w:rsidRPr="00FD7772">
        <w:t>.</w:t>
      </w:r>
      <w:r w:rsidR="00C634DE" w:rsidRPr="00FD7772">
        <w:rPr>
          <w:rStyle w:val="FootnoteReference"/>
        </w:rPr>
        <w:footnoteReference w:id="3"/>
      </w:r>
      <w:r w:rsidR="009B1575" w:rsidRPr="00FD7772">
        <w:t xml:space="preserve"> </w:t>
      </w:r>
      <w:r w:rsidR="00D11581" w:rsidRPr="00FD7772">
        <w:t>To</w:t>
      </w:r>
      <w:r w:rsidR="009B1575" w:rsidRPr="00FD7772">
        <w:t xml:space="preserve"> be </w:t>
      </w:r>
      <w:r w:rsidR="00D11581" w:rsidRPr="00FD7772">
        <w:t>certain</w:t>
      </w:r>
      <w:r w:rsidR="009B1575" w:rsidRPr="00FD7772">
        <w:t xml:space="preserve"> the BPU understood </w:t>
      </w:r>
      <w:r w:rsidR="003336DB" w:rsidRPr="00FD7772">
        <w:t xml:space="preserve">those </w:t>
      </w:r>
      <w:r w:rsidR="00EE584A" w:rsidRPr="00FD7772">
        <w:t>comments</w:t>
      </w:r>
      <w:r w:rsidR="009B1575" w:rsidRPr="00FD7772">
        <w:t xml:space="preserve">, on September 1, </w:t>
      </w:r>
      <w:r w:rsidR="00D11581" w:rsidRPr="00FD7772">
        <w:t>2011,</w:t>
      </w:r>
      <w:r w:rsidR="009B1575" w:rsidRPr="00FD7772">
        <w:t xml:space="preserve"> I had a </w:t>
      </w:r>
      <w:r w:rsidR="003336DB" w:rsidRPr="00FD7772">
        <w:t>long,</w:t>
      </w:r>
      <w:r w:rsidR="009B1575" w:rsidRPr="00FD7772">
        <w:t xml:space="preserve"> follow up phone call with Mary Beth Brenner</w:t>
      </w:r>
      <w:r w:rsidR="00A40FF7" w:rsidRPr="00FD7772">
        <w:t xml:space="preserve"> of the BPU staff</w:t>
      </w:r>
      <w:r w:rsidR="009B1575" w:rsidRPr="00FD7772">
        <w:t xml:space="preserve">. </w:t>
      </w:r>
      <w:r w:rsidR="00CA0661" w:rsidRPr="00FD7772">
        <w:lastRenderedPageBreak/>
        <w:t>But t</w:t>
      </w:r>
      <w:r w:rsidR="000701BE" w:rsidRPr="00FD7772">
        <w:t>he Administration never corrected its claim</w:t>
      </w:r>
      <w:r w:rsidR="00CD4345">
        <w:t>, sticking to its story</w:t>
      </w:r>
      <w:r w:rsidR="000701BE" w:rsidRPr="00FD7772">
        <w:t xml:space="preserve"> that </w:t>
      </w:r>
      <w:r w:rsidR="00CD4345">
        <w:t xml:space="preserve">we </w:t>
      </w:r>
      <w:r w:rsidR="00511F05">
        <w:t>would have</w:t>
      </w:r>
      <w:r w:rsidR="000701BE" w:rsidRPr="00FD7772">
        <w:t xml:space="preserve"> aggressive energy </w:t>
      </w:r>
      <w:r w:rsidR="001E2ED6">
        <w:t>savings</w:t>
      </w:r>
      <w:r w:rsidR="00632E51" w:rsidRPr="00FD7772">
        <w:rPr>
          <w:rStyle w:val="FootnoteReference"/>
        </w:rPr>
        <w:footnoteReference w:id="4"/>
      </w:r>
      <w:r w:rsidR="000701BE" w:rsidRPr="00FD7772">
        <w:t xml:space="preserve">, and it never reported my official </w:t>
      </w:r>
      <w:r w:rsidR="00EF0DF3" w:rsidRPr="00FD7772">
        <w:t>comments, which</w:t>
      </w:r>
      <w:r w:rsidR="000701BE" w:rsidRPr="00FD7772">
        <w:t xml:space="preserve"> </w:t>
      </w:r>
      <w:r w:rsidR="00E378D8">
        <w:t>it</w:t>
      </w:r>
      <w:r w:rsidR="000701BE" w:rsidRPr="00FD7772">
        <w:t xml:space="preserve"> </w:t>
      </w:r>
      <w:r w:rsidR="00254D1D">
        <w:t>was</w:t>
      </w:r>
      <w:r w:rsidR="000701BE" w:rsidRPr="00FD7772">
        <w:t xml:space="preserve"> obligat</w:t>
      </w:r>
      <w:r w:rsidR="00254D1D">
        <w:t>ed</w:t>
      </w:r>
      <w:r w:rsidR="000701BE" w:rsidRPr="00FD7772">
        <w:t xml:space="preserve"> to disclose.</w:t>
      </w:r>
    </w:p>
    <w:p w14:paraId="3B17E404" w14:textId="77777777" w:rsidR="003C0271" w:rsidRDefault="003C0271" w:rsidP="009B1575">
      <w:pPr>
        <w:tabs>
          <w:tab w:val="right" w:pos="8640"/>
        </w:tabs>
        <w:spacing w:after="0" w:line="360" w:lineRule="auto"/>
        <w:jc w:val="left"/>
      </w:pPr>
    </w:p>
    <w:p w14:paraId="7DF81FEB" w14:textId="672C686B" w:rsidR="00CA0661" w:rsidRPr="00FD7772" w:rsidRDefault="00AC236E" w:rsidP="00791C19">
      <w:pPr>
        <w:tabs>
          <w:tab w:val="right" w:pos="8640"/>
        </w:tabs>
        <w:spacing w:after="0" w:line="360" w:lineRule="auto"/>
        <w:jc w:val="left"/>
      </w:pPr>
      <w:r w:rsidRPr="00FD7772">
        <w:t xml:space="preserve">Since </w:t>
      </w:r>
      <w:r w:rsidR="00D21FA5">
        <w:t>2011</w:t>
      </w:r>
      <w:r w:rsidRPr="00FD7772">
        <w:t xml:space="preserve">, I learned </w:t>
      </w:r>
      <w:r w:rsidR="0084116A" w:rsidRPr="00FD7772">
        <w:t>PJM</w:t>
      </w:r>
      <w:r w:rsidR="005C446A" w:rsidRPr="00FD7772">
        <w:t>’s</w:t>
      </w:r>
      <w:r w:rsidR="0084116A" w:rsidRPr="00FD7772">
        <w:t xml:space="preserve"> net energy forecast</w:t>
      </w:r>
      <w:r w:rsidR="00CA0661" w:rsidRPr="00FD7772">
        <w:t xml:space="preserve"> is </w:t>
      </w:r>
      <w:r w:rsidR="00254D1D">
        <w:t>unsuitable</w:t>
      </w:r>
      <w:r w:rsidR="00CA0661" w:rsidRPr="00FD7772">
        <w:t xml:space="preserve"> </w:t>
      </w:r>
      <w:r w:rsidR="0084116A" w:rsidRPr="00FD7772">
        <w:t xml:space="preserve">for </w:t>
      </w:r>
      <w:r w:rsidR="00CA0661" w:rsidRPr="00FD7772">
        <w:t>N</w:t>
      </w:r>
      <w:r w:rsidR="008D2EBD" w:rsidRPr="00FD7772">
        <w:t xml:space="preserve">ew </w:t>
      </w:r>
      <w:r w:rsidR="00CA0661" w:rsidRPr="00FD7772">
        <w:t>J</w:t>
      </w:r>
      <w:r w:rsidR="008D2EBD" w:rsidRPr="00FD7772">
        <w:t>ersey</w:t>
      </w:r>
      <w:r w:rsidR="00CA0661" w:rsidRPr="00FD7772">
        <w:t xml:space="preserve">’s </w:t>
      </w:r>
      <w:r w:rsidR="00B65E0F" w:rsidRPr="00FD7772">
        <w:t>direct use</w:t>
      </w:r>
      <w:r w:rsidR="00CA0661" w:rsidRPr="00FD7772">
        <w:t xml:space="preserve">. </w:t>
      </w:r>
      <w:r w:rsidRPr="00FD7772">
        <w:t xml:space="preserve">It </w:t>
      </w:r>
      <w:r w:rsidR="00254D1D">
        <w:t>gives</w:t>
      </w:r>
      <w:r w:rsidRPr="00FD7772">
        <w:t xml:space="preserve"> </w:t>
      </w:r>
      <w:r w:rsidR="009B224D">
        <w:t xml:space="preserve">an </w:t>
      </w:r>
      <w:r w:rsidRPr="00FD7772">
        <w:t>incomplete</w:t>
      </w:r>
      <w:r w:rsidR="00277AB2">
        <w:t xml:space="preserve"> view of the state</w:t>
      </w:r>
      <w:r w:rsidRPr="00FD7772">
        <w:t xml:space="preserve">. </w:t>
      </w:r>
      <w:r w:rsidR="0084116A" w:rsidRPr="00FD7772">
        <w:t>It only includes energy supplied over PJM’</w:t>
      </w:r>
      <w:r w:rsidR="007F4DF0" w:rsidRPr="00FD7772">
        <w:t xml:space="preserve">s </w:t>
      </w:r>
      <w:r w:rsidR="00A2724F" w:rsidRPr="00FD7772">
        <w:t>grid</w:t>
      </w:r>
      <w:r w:rsidR="007F4DF0" w:rsidRPr="00FD7772">
        <w:t>, and</w:t>
      </w:r>
      <w:r w:rsidR="0084116A" w:rsidRPr="00FD7772">
        <w:t xml:space="preserve"> excludes the following: rooftop solar, </w:t>
      </w:r>
      <w:r w:rsidR="00D16510">
        <w:t xml:space="preserve">CHP, </w:t>
      </w:r>
      <w:r w:rsidR="0084116A" w:rsidRPr="00FD7772">
        <w:t xml:space="preserve">other distributed generation, backup generators, “behind-the meter generation”, and generation which </w:t>
      </w:r>
      <w:r w:rsidR="007F4DF0" w:rsidRPr="00FD7772">
        <w:t xml:space="preserve">power plants consume on-site. </w:t>
      </w:r>
      <w:r w:rsidR="00254D1D">
        <w:t>Trends</w:t>
      </w:r>
      <w:r w:rsidR="00E70462" w:rsidRPr="00FD7772">
        <w:t xml:space="preserve"> in these </w:t>
      </w:r>
      <w:r w:rsidR="009F0915">
        <w:t>types of generation</w:t>
      </w:r>
      <w:r w:rsidR="007F4DF0" w:rsidRPr="00FD7772">
        <w:t xml:space="preserve">, in addition to the recession, </w:t>
      </w:r>
      <w:r w:rsidR="008D2EBD" w:rsidRPr="00FD7772">
        <w:t xml:space="preserve">all </w:t>
      </w:r>
      <w:r w:rsidR="007F4DF0" w:rsidRPr="00FD7772">
        <w:t xml:space="preserve">contributed to </w:t>
      </w:r>
      <w:r w:rsidR="00C151AA" w:rsidRPr="00FD7772">
        <w:t>a</w:t>
      </w:r>
      <w:r w:rsidR="007F4DF0" w:rsidRPr="00FD7772">
        <w:t xml:space="preserve"> decline in PJM’s energy forecasts from 2008 to 20015.</w:t>
      </w:r>
      <w:r w:rsidR="004C5030" w:rsidRPr="00FD7772">
        <w:rPr>
          <w:rStyle w:val="FootnoteReference"/>
        </w:rPr>
        <w:footnoteReference w:id="5"/>
      </w:r>
      <w:r w:rsidR="007F4DF0" w:rsidRPr="00FD7772">
        <w:t xml:space="preserve"> </w:t>
      </w:r>
      <w:r w:rsidR="00254D1D">
        <w:t xml:space="preserve">But </w:t>
      </w:r>
      <w:r w:rsidR="00C6519C">
        <w:t xml:space="preserve">that generation </w:t>
      </w:r>
      <w:r w:rsidR="001E2ED6">
        <w:t xml:space="preserve">I just categorized </w:t>
      </w:r>
      <w:r w:rsidR="003D6779">
        <w:t xml:space="preserve">still </w:t>
      </w:r>
      <w:r w:rsidR="00C6519C">
        <w:t>occurs</w:t>
      </w:r>
      <w:r w:rsidR="00254D1D">
        <w:t xml:space="preserve"> in New </w:t>
      </w:r>
      <w:r w:rsidR="00E47037">
        <w:t>Jersey,</w:t>
      </w:r>
      <w:r w:rsidR="00D21FA5">
        <w:t xml:space="preserve"> it just bypasses </w:t>
      </w:r>
      <w:r w:rsidR="00393BA9" w:rsidRPr="00FD7772">
        <w:t>PJM’s grid</w:t>
      </w:r>
      <w:r w:rsidR="00D21FA5">
        <w:t>.</w:t>
      </w:r>
      <w:r w:rsidR="00393BA9" w:rsidRPr="00FD7772">
        <w:t xml:space="preserve"> </w:t>
      </w:r>
      <w:r w:rsidR="00D21FA5">
        <w:t>The resulting</w:t>
      </w:r>
      <w:r w:rsidR="00C6519C">
        <w:t xml:space="preserve"> load forecast</w:t>
      </w:r>
      <w:r w:rsidR="00D21FA5">
        <w:t xml:space="preserve"> should not be tied to an energy savings goal</w:t>
      </w:r>
      <w:r w:rsidR="005C446A" w:rsidRPr="00FD7772">
        <w:t>.</w:t>
      </w:r>
    </w:p>
    <w:p w14:paraId="32ED68F7" w14:textId="77777777" w:rsidR="00CA0661" w:rsidRPr="00FD7772" w:rsidRDefault="00CA0661" w:rsidP="00791C19">
      <w:pPr>
        <w:tabs>
          <w:tab w:val="right" w:pos="8640"/>
        </w:tabs>
        <w:spacing w:after="0" w:line="360" w:lineRule="auto"/>
        <w:jc w:val="left"/>
      </w:pPr>
    </w:p>
    <w:p w14:paraId="15D38ED4" w14:textId="77777777" w:rsidR="00B077BF" w:rsidRPr="00FD7772" w:rsidRDefault="00B077BF" w:rsidP="00B077BF">
      <w:pPr>
        <w:tabs>
          <w:tab w:val="right" w:pos="8640"/>
        </w:tabs>
        <w:spacing w:after="0" w:line="360" w:lineRule="auto"/>
        <w:jc w:val="left"/>
      </w:pPr>
      <w:r>
        <w:t>Just to clarify a point, when the 2011 EMP referred to a load forecast, that could only mean PJM’s forecast. PJM’s was the</w:t>
      </w:r>
      <w:r w:rsidRPr="00CD4345">
        <w:t xml:space="preserve"> </w:t>
      </w:r>
      <w:r w:rsidRPr="009F0915">
        <w:t>only</w:t>
      </w:r>
      <w:r w:rsidRPr="00FD7772">
        <w:t xml:space="preserve"> up-to-date, power sector forecast shown in the </w:t>
      </w:r>
      <w:r>
        <w:t>plan</w:t>
      </w:r>
      <w:r w:rsidRPr="00FD7772">
        <w:rPr>
          <w:rStyle w:val="FootnoteReference"/>
        </w:rPr>
        <w:footnoteReference w:id="6"/>
      </w:r>
      <w:r w:rsidRPr="00FD7772">
        <w:t>.</w:t>
      </w:r>
    </w:p>
    <w:p w14:paraId="701B1CBA" w14:textId="77777777" w:rsidR="00B077BF" w:rsidRPr="00FD7772" w:rsidRDefault="00B077BF" w:rsidP="00B077BF">
      <w:pPr>
        <w:tabs>
          <w:tab w:val="right" w:pos="8640"/>
        </w:tabs>
        <w:spacing w:after="0" w:line="360" w:lineRule="auto"/>
        <w:jc w:val="left"/>
      </w:pPr>
    </w:p>
    <w:p w14:paraId="799B1767" w14:textId="2417837F" w:rsidR="004C5030" w:rsidRPr="00FD7772" w:rsidRDefault="004C5030" w:rsidP="00791C19">
      <w:pPr>
        <w:tabs>
          <w:tab w:val="right" w:pos="8640"/>
        </w:tabs>
        <w:spacing w:after="0" w:line="360" w:lineRule="auto"/>
        <w:jc w:val="left"/>
      </w:pPr>
      <w:r w:rsidRPr="00FD7772">
        <w:t xml:space="preserve">I cannot tell how far </w:t>
      </w:r>
      <w:r w:rsidR="007462C2" w:rsidRPr="00FD7772">
        <w:t>New Jersey’s</w:t>
      </w:r>
      <w:r w:rsidRPr="00FD7772">
        <w:t xml:space="preserve"> misinterpretation of PJM’s forecast extends. I am concerned </w:t>
      </w:r>
      <w:r w:rsidR="00D05AC4" w:rsidRPr="00FD7772">
        <w:t>about</w:t>
      </w:r>
      <w:r w:rsidRPr="00FD7772">
        <w:t xml:space="preserve"> </w:t>
      </w:r>
      <w:r w:rsidR="00136DB6" w:rsidRPr="00FD7772">
        <w:t xml:space="preserve">renewable energy targets being set based on PJM data and </w:t>
      </w:r>
      <w:r w:rsidR="00D16510">
        <w:t xml:space="preserve">concerned </w:t>
      </w:r>
      <w:r w:rsidR="00136DB6" w:rsidRPr="00FD7772">
        <w:t xml:space="preserve">with the </w:t>
      </w:r>
      <w:r w:rsidR="009A7B93" w:rsidRPr="00FD7772">
        <w:t xml:space="preserve">possibility that New Jersey is relying on use of PJM data to demonstrate compliance with </w:t>
      </w:r>
      <w:r w:rsidR="000612AD" w:rsidRPr="00FD7772">
        <w:t xml:space="preserve">other </w:t>
      </w:r>
      <w:r w:rsidR="00574E65">
        <w:t>laws</w:t>
      </w:r>
      <w:r w:rsidRPr="00FD7772">
        <w:t>.</w:t>
      </w:r>
      <w:r w:rsidR="00FC194A" w:rsidRPr="00FD7772">
        <w:rPr>
          <w:rStyle w:val="FootnoteReference"/>
        </w:rPr>
        <w:footnoteReference w:id="7"/>
      </w:r>
    </w:p>
    <w:p w14:paraId="4DDDBE8E" w14:textId="77777777" w:rsidR="004C5030" w:rsidRPr="00FD7772" w:rsidRDefault="004C5030" w:rsidP="00791C19">
      <w:pPr>
        <w:tabs>
          <w:tab w:val="right" w:pos="8640"/>
        </w:tabs>
        <w:spacing w:after="0" w:line="360" w:lineRule="auto"/>
        <w:jc w:val="left"/>
      </w:pPr>
    </w:p>
    <w:p w14:paraId="5E6C06CC" w14:textId="60659BC6" w:rsidR="00B4465F" w:rsidRPr="00FD7772" w:rsidRDefault="00393BA9" w:rsidP="00B4465F">
      <w:pPr>
        <w:tabs>
          <w:tab w:val="right" w:pos="8640"/>
        </w:tabs>
        <w:spacing w:after="0" w:line="360" w:lineRule="auto"/>
        <w:jc w:val="left"/>
      </w:pPr>
      <w:r w:rsidRPr="00FD7772">
        <w:t xml:space="preserve">Whatever load forecast </w:t>
      </w:r>
      <w:r w:rsidR="00366936">
        <w:t>N</w:t>
      </w:r>
      <w:r w:rsidR="00D16510">
        <w:t xml:space="preserve">ew </w:t>
      </w:r>
      <w:r w:rsidR="00366936">
        <w:t>J</w:t>
      </w:r>
      <w:r w:rsidR="00D16510">
        <w:t>ersey</w:t>
      </w:r>
      <w:r w:rsidR="00366936">
        <w:t xml:space="preserve"> uses</w:t>
      </w:r>
      <w:r w:rsidR="00216A2B">
        <w:t xml:space="preserve"> </w:t>
      </w:r>
      <w:r w:rsidR="00381BBB">
        <w:t>in the future</w:t>
      </w:r>
      <w:r w:rsidR="005145FB" w:rsidRPr="00FD7772">
        <w:t xml:space="preserve">, </w:t>
      </w:r>
      <w:r w:rsidR="00E70462" w:rsidRPr="00FD7772">
        <w:t>a</w:t>
      </w:r>
      <w:r w:rsidR="005145FB" w:rsidRPr="00FD7772">
        <w:t xml:space="preserve"> goal </w:t>
      </w:r>
      <w:r w:rsidRPr="00FD7772">
        <w:t xml:space="preserve">linked to the forecast </w:t>
      </w:r>
      <w:r w:rsidR="005145FB" w:rsidRPr="00FD7772">
        <w:t xml:space="preserve">would </w:t>
      </w:r>
      <w:r w:rsidR="00D21FA5">
        <w:t>bounce around</w:t>
      </w:r>
      <w:r w:rsidR="00E70462" w:rsidRPr="00FD7772">
        <w:t xml:space="preserve"> so much</w:t>
      </w:r>
      <w:r w:rsidR="005145FB" w:rsidRPr="00FD7772">
        <w:t xml:space="preserve"> that it could not be used </w:t>
      </w:r>
      <w:r w:rsidR="008D2EBD" w:rsidRPr="00FD7772">
        <w:t>to</w:t>
      </w:r>
      <w:r w:rsidR="005145FB" w:rsidRPr="00FD7772">
        <w:t xml:space="preserve"> plan programs.</w:t>
      </w:r>
      <w:r w:rsidR="000A105C" w:rsidRPr="00FD7772">
        <w:t xml:space="preserve"> In short, </w:t>
      </w:r>
      <w:r w:rsidR="000A105C" w:rsidRPr="003E79CF">
        <w:t xml:space="preserve">there </w:t>
      </w:r>
      <w:r w:rsidR="002A67D2" w:rsidRPr="003E79CF">
        <w:t>is</w:t>
      </w:r>
      <w:r w:rsidR="000A105C" w:rsidRPr="003E79CF">
        <w:t xml:space="preserve"> no </w:t>
      </w:r>
      <w:r w:rsidR="009A7B93" w:rsidRPr="003E79CF">
        <w:t xml:space="preserve">sensible </w:t>
      </w:r>
      <w:r w:rsidR="000A105C" w:rsidRPr="003E79CF">
        <w:t>way to calculate a</w:t>
      </w:r>
      <w:r w:rsidR="007462C2" w:rsidRPr="003E79CF">
        <w:t xml:space="preserve">n </w:t>
      </w:r>
      <w:r w:rsidR="000A105C" w:rsidRPr="003E79CF">
        <w:t>energy savings goal based on the 2011 EMP.</w:t>
      </w:r>
      <w:r w:rsidR="000A105C" w:rsidRPr="00FD7772">
        <w:t xml:space="preserve"> However, </w:t>
      </w:r>
      <w:r w:rsidR="009B224D">
        <w:t xml:space="preserve">the 2011 plan mentions this goal and </w:t>
      </w:r>
      <w:r w:rsidR="000A105C" w:rsidRPr="00FD7772">
        <w:t xml:space="preserve">the Energy Master Plan statute requires </w:t>
      </w:r>
      <w:r w:rsidR="008B37D6">
        <w:t>goals</w:t>
      </w:r>
      <w:r w:rsidR="009B224D">
        <w:t>.</w:t>
      </w:r>
      <w:r w:rsidR="000A105C" w:rsidRPr="00FD7772">
        <w:t xml:space="preserve"> </w:t>
      </w:r>
      <w:r w:rsidR="00682E3E">
        <w:t>A specific energy</w:t>
      </w:r>
      <w:r w:rsidR="007462C2" w:rsidRPr="00FD7772">
        <w:t xml:space="preserve"> savings </w:t>
      </w:r>
      <w:r w:rsidR="00B077BF">
        <w:t>goal</w:t>
      </w:r>
      <w:r w:rsidR="00682E3E">
        <w:t xml:space="preserve"> of 15,000 GWH </w:t>
      </w:r>
      <w:r w:rsidR="007462C2" w:rsidRPr="00FD7772">
        <w:t xml:space="preserve">was </w:t>
      </w:r>
      <w:r w:rsidR="00152DE6">
        <w:t>the top priority</w:t>
      </w:r>
      <w:r w:rsidR="00D44306" w:rsidRPr="00FD7772">
        <w:t xml:space="preserve"> in 2008.</w:t>
      </w:r>
      <w:r w:rsidR="00155519" w:rsidRPr="00FD7772">
        <w:t xml:space="preserve"> </w:t>
      </w:r>
      <w:r w:rsidR="00E8692E">
        <w:t>Going back to</w:t>
      </w:r>
      <w:r w:rsidR="000B76E4">
        <w:t xml:space="preserve"> </w:t>
      </w:r>
      <w:r w:rsidR="00EC25BA">
        <w:t>an a</w:t>
      </w:r>
      <w:r w:rsidR="000B76E4">
        <w:t xml:space="preserve">chievable </w:t>
      </w:r>
      <w:r w:rsidR="00EC25BA">
        <w:t xml:space="preserve">and truly </w:t>
      </w:r>
      <w:r w:rsidR="00EC25BA">
        <w:lastRenderedPageBreak/>
        <w:t>aggressive</w:t>
      </w:r>
      <w:r w:rsidR="00152DE6">
        <w:t xml:space="preserve"> target</w:t>
      </w:r>
      <w:r w:rsidR="00081469">
        <w:t xml:space="preserve"> </w:t>
      </w:r>
      <w:r w:rsidR="001F64DB">
        <w:t>would be</w:t>
      </w:r>
      <w:r w:rsidR="00284D26">
        <w:t xml:space="preserve"> consistent with</w:t>
      </w:r>
      <w:r w:rsidR="00152DE6">
        <w:t xml:space="preserve"> planning practices</w:t>
      </w:r>
      <w:r w:rsidR="00B077BF">
        <w:t xml:space="preserve"> elsewhere in the U.S. However, to be effective </w:t>
      </w:r>
      <w:r w:rsidR="001F64DB">
        <w:t>in New Jersey</w:t>
      </w:r>
      <w:r w:rsidR="00B077BF">
        <w:t>,</w:t>
      </w:r>
      <w:r w:rsidR="00152DE6">
        <w:t xml:space="preserve"> </w:t>
      </w:r>
      <w:r w:rsidR="009F15AF">
        <w:t>that</w:t>
      </w:r>
      <w:r w:rsidR="00152DE6">
        <w:t xml:space="preserve"> need</w:t>
      </w:r>
      <w:r w:rsidR="00BB24F3">
        <w:t>s</w:t>
      </w:r>
      <w:r w:rsidR="00152DE6">
        <w:t xml:space="preserve"> to be</w:t>
      </w:r>
      <w:r w:rsidR="00682E3E">
        <w:t xml:space="preserve"> </w:t>
      </w:r>
      <w:r w:rsidR="000B76E4">
        <w:t>combined with</w:t>
      </w:r>
      <w:r w:rsidR="00542D9F">
        <w:t xml:space="preserve"> </w:t>
      </w:r>
      <w:r w:rsidR="00682E3E">
        <w:t>annual</w:t>
      </w:r>
      <w:r w:rsidR="00542D9F">
        <w:t xml:space="preserve"> </w:t>
      </w:r>
      <w:r w:rsidR="00152DE6">
        <w:t>milestones and funding that cannot be diverted</w:t>
      </w:r>
      <w:r w:rsidR="00682E3E">
        <w:t xml:space="preserve">. </w:t>
      </w:r>
    </w:p>
    <w:p w14:paraId="0A203B18" w14:textId="77777777" w:rsidR="00D44306" w:rsidRPr="00FD7772" w:rsidRDefault="00D44306" w:rsidP="00791C19">
      <w:pPr>
        <w:tabs>
          <w:tab w:val="right" w:pos="8640"/>
        </w:tabs>
        <w:spacing w:after="0" w:line="360" w:lineRule="auto"/>
        <w:jc w:val="left"/>
      </w:pPr>
    </w:p>
    <w:p w14:paraId="631DA2FB" w14:textId="7A23DED6" w:rsidR="00277AB2" w:rsidRDefault="005C4B1E" w:rsidP="00791C19">
      <w:pPr>
        <w:tabs>
          <w:tab w:val="right" w:pos="8640"/>
        </w:tabs>
        <w:spacing w:after="0" w:line="360" w:lineRule="auto"/>
        <w:jc w:val="left"/>
      </w:pPr>
      <w:r>
        <w:t>Besides change</w:t>
      </w:r>
      <w:r w:rsidR="00D16510">
        <w:t>s</w:t>
      </w:r>
      <w:r>
        <w:t xml:space="preserve"> </w:t>
      </w:r>
      <w:r w:rsidR="004D4855">
        <w:t xml:space="preserve">in </w:t>
      </w:r>
      <w:r w:rsidR="003E79CF">
        <w:t xml:space="preserve">the </w:t>
      </w:r>
      <w:r w:rsidR="004D4855">
        <w:t>2011</w:t>
      </w:r>
      <w:r w:rsidR="003E79CF">
        <w:t xml:space="preserve"> EMP</w:t>
      </w:r>
      <w:r>
        <w:t>, o</w:t>
      </w:r>
      <w:r w:rsidR="00277AB2">
        <w:t xml:space="preserve">ther developments </w:t>
      </w:r>
      <w:r w:rsidR="004D4855">
        <w:t>have led</w:t>
      </w:r>
      <w:r w:rsidR="00277AB2">
        <w:t xml:space="preserve"> to New Jersey’s decline </w:t>
      </w:r>
      <w:r w:rsidR="00691C7D">
        <w:t>from its former status as a leader in energy efficiency.</w:t>
      </w:r>
      <w:r w:rsidR="00152DE6">
        <w:t xml:space="preserve"> </w:t>
      </w:r>
      <w:r w:rsidR="00B077BF">
        <w:t>M</w:t>
      </w:r>
      <w:r w:rsidR="00152DE6">
        <w:t xml:space="preserve">ajor clean energy investments in response to global warming are </w:t>
      </w:r>
      <w:r w:rsidR="00866C37">
        <w:t>more urgent than ever</w:t>
      </w:r>
      <w:r w:rsidR="00152DE6">
        <w:t xml:space="preserve">, </w:t>
      </w:r>
      <w:r w:rsidR="00B077BF">
        <w:t xml:space="preserve">but </w:t>
      </w:r>
      <w:r w:rsidR="00152DE6">
        <w:t>New Jersey continues to overlook energy efficiency, which is the lowest cost resource, in favor of natural gas.</w:t>
      </w:r>
    </w:p>
    <w:p w14:paraId="03026FE6" w14:textId="77777777" w:rsidR="00277AB2" w:rsidRDefault="00277AB2" w:rsidP="00791C19">
      <w:pPr>
        <w:tabs>
          <w:tab w:val="right" w:pos="8640"/>
        </w:tabs>
        <w:spacing w:after="0" w:line="360" w:lineRule="auto"/>
        <w:jc w:val="left"/>
      </w:pPr>
    </w:p>
    <w:p w14:paraId="789F0C1F" w14:textId="3515F30A" w:rsidR="00682578" w:rsidRDefault="00D44306" w:rsidP="00791C19">
      <w:pPr>
        <w:tabs>
          <w:tab w:val="right" w:pos="8640"/>
        </w:tabs>
        <w:spacing w:after="0" w:line="360" w:lineRule="auto"/>
        <w:jc w:val="left"/>
      </w:pPr>
      <w:r w:rsidRPr="00FD7772">
        <w:t>In 200</w:t>
      </w:r>
      <w:r w:rsidR="00516086">
        <w:t>8</w:t>
      </w:r>
      <w:r w:rsidRPr="00FD7772">
        <w:t>, N</w:t>
      </w:r>
      <w:r w:rsidR="00A9749D">
        <w:t xml:space="preserve">ew </w:t>
      </w:r>
      <w:r w:rsidRPr="00FD7772">
        <w:t>J</w:t>
      </w:r>
      <w:r w:rsidR="00A9749D">
        <w:t>ersey</w:t>
      </w:r>
      <w:r w:rsidRPr="00FD7772">
        <w:t xml:space="preserve"> </w:t>
      </w:r>
      <w:r w:rsidR="00DD7CFD">
        <w:t xml:space="preserve">commissioned </w:t>
      </w:r>
      <w:r w:rsidRPr="00FD7772">
        <w:t xml:space="preserve">an </w:t>
      </w:r>
      <w:r w:rsidR="008D13B6">
        <w:t xml:space="preserve">energy efficiency </w:t>
      </w:r>
      <w:r w:rsidRPr="00FD7772">
        <w:t xml:space="preserve">strategy </w:t>
      </w:r>
      <w:r w:rsidR="00B077BF">
        <w:t>from</w:t>
      </w:r>
      <w:r w:rsidRPr="00FD7772">
        <w:t xml:space="preserve"> national experts</w:t>
      </w:r>
      <w:r w:rsidR="009818F6">
        <w:rPr>
          <w:rStyle w:val="FootnoteReference"/>
        </w:rPr>
        <w:footnoteReference w:id="8"/>
      </w:r>
      <w:r w:rsidRPr="00FD7772">
        <w:t xml:space="preserve"> </w:t>
      </w:r>
      <w:r w:rsidR="00691C7D">
        <w:t>which</w:t>
      </w:r>
      <w:r w:rsidRPr="00FD7772">
        <w:t xml:space="preserve"> offered many new </w:t>
      </w:r>
      <w:r w:rsidR="00381BBB">
        <w:t xml:space="preserve">ways to </w:t>
      </w:r>
      <w:r w:rsidR="00E8692E">
        <w:t>save energy</w:t>
      </w:r>
      <w:r w:rsidR="00381BBB">
        <w:t xml:space="preserve"> cost-effectively – in other words, at a fraction of the cost </w:t>
      </w:r>
      <w:r w:rsidR="00A9749D">
        <w:t>of new gas generation</w:t>
      </w:r>
      <w:r w:rsidRPr="00FD7772">
        <w:t xml:space="preserve">. </w:t>
      </w:r>
      <w:r w:rsidR="00B4465F" w:rsidRPr="00FD7772">
        <w:t xml:space="preserve">Unfortunately, </w:t>
      </w:r>
      <w:r w:rsidR="009818F6">
        <w:t>their 2009</w:t>
      </w:r>
      <w:r w:rsidRPr="00FD7772">
        <w:t xml:space="preserve"> </w:t>
      </w:r>
      <w:r w:rsidR="008C31BE">
        <w:t xml:space="preserve">report </w:t>
      </w:r>
      <w:r w:rsidRPr="00FD7772">
        <w:t xml:space="preserve">sat on a shelf. Not only were </w:t>
      </w:r>
      <w:r w:rsidR="00A9749D">
        <w:t xml:space="preserve">the experts’ recommendations </w:t>
      </w:r>
      <w:r w:rsidR="00BC5A67">
        <w:t>ignored</w:t>
      </w:r>
      <w:r w:rsidR="00682578" w:rsidRPr="00FD7772">
        <w:t xml:space="preserve">, but existing </w:t>
      </w:r>
      <w:r w:rsidR="008D2EBD" w:rsidRPr="00FD7772">
        <w:t>funding was</w:t>
      </w:r>
      <w:r w:rsidR="00682578" w:rsidRPr="00FD7772">
        <w:t xml:space="preserve"> raided or </w:t>
      </w:r>
      <w:r w:rsidR="00997B8E">
        <w:t>eliminated</w:t>
      </w:r>
      <w:r w:rsidR="00682578" w:rsidRPr="00FD7772">
        <w:t xml:space="preserve"> – </w:t>
      </w:r>
      <w:r w:rsidR="00997B8E">
        <w:t>wasting</w:t>
      </w:r>
      <w:r w:rsidR="00F717D1" w:rsidRPr="00FD7772">
        <w:t xml:space="preserve"> billions </w:t>
      </w:r>
      <w:r w:rsidR="00E47037">
        <w:t xml:space="preserve">of dollars </w:t>
      </w:r>
      <w:r w:rsidR="00F717D1" w:rsidRPr="00FD7772">
        <w:t>in</w:t>
      </w:r>
      <w:r w:rsidR="00682578" w:rsidRPr="00FD7772">
        <w:t xml:space="preserve"> benefits that would have come to New Jersey.</w:t>
      </w:r>
      <w:r w:rsidR="00F717D1" w:rsidRPr="00FD7772">
        <w:t xml:space="preserve"> Based on th</w:t>
      </w:r>
      <w:r w:rsidR="003D6779">
        <w:t>e</w:t>
      </w:r>
      <w:r w:rsidR="00F717D1" w:rsidRPr="00FD7772">
        <w:t xml:space="preserve"> 2009 </w:t>
      </w:r>
      <w:r w:rsidR="009818F6">
        <w:t>study</w:t>
      </w:r>
      <w:r w:rsidR="00F717D1" w:rsidRPr="00FD7772">
        <w:t xml:space="preserve"> by Northeast Energy Efficiency Partnerships</w:t>
      </w:r>
      <w:r w:rsidR="00182961">
        <w:t xml:space="preserve"> </w:t>
      </w:r>
      <w:r w:rsidR="00182961" w:rsidRPr="00BC5A67">
        <w:t xml:space="preserve">for </w:t>
      </w:r>
      <w:r w:rsidR="00691C7D" w:rsidRPr="00BC5A67">
        <w:t>New Jersey</w:t>
      </w:r>
      <w:r w:rsidR="00BC5A67">
        <w:t>’s</w:t>
      </w:r>
      <w:r w:rsidR="00691C7D" w:rsidRPr="00BC5A67">
        <w:t xml:space="preserve"> </w:t>
      </w:r>
      <w:r w:rsidR="00182961" w:rsidRPr="00BC5A67">
        <w:t>BPU</w:t>
      </w:r>
      <w:r w:rsidR="00F717D1" w:rsidRPr="00FD7772">
        <w:t>, I estimate</w:t>
      </w:r>
      <w:r w:rsidR="00917DF9" w:rsidRPr="00FD7772">
        <w:t xml:space="preserve"> the value of direct benefits that New Jersey missed by not pursuing aggressive EE </w:t>
      </w:r>
      <w:r w:rsidR="00182961">
        <w:t xml:space="preserve">(during 2010-2015) </w:t>
      </w:r>
      <w:r w:rsidR="00917DF9" w:rsidRPr="00FD7772">
        <w:t xml:space="preserve">at </w:t>
      </w:r>
      <w:r w:rsidR="00917DF9" w:rsidRPr="000D16F8">
        <w:rPr>
          <w:u w:val="single"/>
        </w:rPr>
        <w:t>$11.5 billion</w:t>
      </w:r>
      <w:r w:rsidR="00273264">
        <w:t>.</w:t>
      </w:r>
      <w:r w:rsidR="00917DF9" w:rsidRPr="00FD7772">
        <w:t xml:space="preserve"> </w:t>
      </w:r>
      <w:r w:rsidR="00273264">
        <w:t>Those benefits are attributable to</w:t>
      </w:r>
      <w:r w:rsidR="00917DF9" w:rsidRPr="00FD7772">
        <w:t xml:space="preserve"> lower utility bills</w:t>
      </w:r>
      <w:r w:rsidR="00691C7D">
        <w:t xml:space="preserve"> lasting over many years</w:t>
      </w:r>
      <w:r w:rsidR="00917DF9" w:rsidRPr="00FD7772">
        <w:t xml:space="preserve">. That is $11.5 billion in net benefits ($19.1 billion </w:t>
      </w:r>
      <w:r w:rsidR="00C32D31">
        <w:t xml:space="preserve">in </w:t>
      </w:r>
      <w:r w:rsidR="00DD7CFD">
        <w:t>lower energy costs</w:t>
      </w:r>
      <w:r w:rsidR="00C32D31">
        <w:t xml:space="preserve"> </w:t>
      </w:r>
      <w:r w:rsidR="00FD7772" w:rsidRPr="00FD7772">
        <w:t>minus</w:t>
      </w:r>
      <w:r w:rsidR="00917DF9" w:rsidRPr="00FD7772">
        <w:t xml:space="preserve"> </w:t>
      </w:r>
      <w:r w:rsidR="00F2692E">
        <w:t>investments</w:t>
      </w:r>
      <w:r w:rsidR="00917DF9" w:rsidRPr="00FD7772">
        <w:t xml:space="preserve"> of $7.6 billion), measured in</w:t>
      </w:r>
      <w:r w:rsidR="00F0165F" w:rsidRPr="00FD7772">
        <w:t xml:space="preserve"> 2015 dollars</w:t>
      </w:r>
      <w:r w:rsidR="00182961">
        <w:t xml:space="preserve">. That estimate </w:t>
      </w:r>
      <w:r w:rsidR="00F0165F" w:rsidRPr="00D16510">
        <w:rPr>
          <w:u w:val="single"/>
        </w:rPr>
        <w:t xml:space="preserve">excludes </w:t>
      </w:r>
      <w:r w:rsidR="000D16F8" w:rsidRPr="00D16510">
        <w:rPr>
          <w:u w:val="single"/>
        </w:rPr>
        <w:t xml:space="preserve">benefits from </w:t>
      </w:r>
      <w:r w:rsidR="00F0165F" w:rsidRPr="00D16510">
        <w:rPr>
          <w:u w:val="single"/>
        </w:rPr>
        <w:t xml:space="preserve">job creation, </w:t>
      </w:r>
      <w:r w:rsidR="008D13B6" w:rsidRPr="00D16510">
        <w:rPr>
          <w:u w:val="single"/>
        </w:rPr>
        <w:t>the</w:t>
      </w:r>
      <w:r w:rsidR="00F0165F" w:rsidRPr="00D16510">
        <w:rPr>
          <w:u w:val="single"/>
        </w:rPr>
        <w:t xml:space="preserve"> </w:t>
      </w:r>
      <w:r w:rsidR="00273264">
        <w:rPr>
          <w:u w:val="single"/>
        </w:rPr>
        <w:t>stimulus effect on</w:t>
      </w:r>
      <w:r w:rsidR="00F0165F" w:rsidRPr="00D16510">
        <w:rPr>
          <w:u w:val="single"/>
        </w:rPr>
        <w:t xml:space="preserve"> NJ’s economy, and public health</w:t>
      </w:r>
      <w:r w:rsidR="00A9749D" w:rsidRPr="00D16510">
        <w:rPr>
          <w:u w:val="single"/>
        </w:rPr>
        <w:t xml:space="preserve"> benefits</w:t>
      </w:r>
      <w:r w:rsidR="00F0165F" w:rsidRPr="00FD7772">
        <w:t>.</w:t>
      </w:r>
    </w:p>
    <w:p w14:paraId="45342449" w14:textId="77777777" w:rsidR="00A9749D" w:rsidRDefault="00A9749D" w:rsidP="00791C19">
      <w:pPr>
        <w:tabs>
          <w:tab w:val="right" w:pos="8640"/>
        </w:tabs>
        <w:spacing w:after="0" w:line="360" w:lineRule="auto"/>
        <w:jc w:val="left"/>
      </w:pPr>
    </w:p>
    <w:p w14:paraId="7C60CE52" w14:textId="64E47D36" w:rsidR="00A9749D" w:rsidRPr="00FD7772" w:rsidRDefault="009B224D" w:rsidP="00791C19">
      <w:pPr>
        <w:tabs>
          <w:tab w:val="right" w:pos="8640"/>
        </w:tabs>
        <w:spacing w:after="0" w:line="360" w:lineRule="auto"/>
        <w:jc w:val="left"/>
      </w:pPr>
      <w:r>
        <w:t>In addition, t</w:t>
      </w:r>
      <w:r w:rsidR="00A9749D">
        <w:t xml:space="preserve">he BPU and state agencies </w:t>
      </w:r>
      <w:r w:rsidR="00682E3E">
        <w:t>have lost</w:t>
      </w:r>
      <w:r w:rsidR="00A9749D">
        <w:t xml:space="preserve"> experienced people </w:t>
      </w:r>
      <w:r w:rsidR="00273264">
        <w:t>(Commissioner Fox</w:t>
      </w:r>
      <w:r w:rsidR="00300813">
        <w:t xml:space="preserve"> and</w:t>
      </w:r>
      <w:r w:rsidR="009F15AF">
        <w:t xml:space="preserve"> others</w:t>
      </w:r>
      <w:r w:rsidR="00273264">
        <w:t xml:space="preserve">) </w:t>
      </w:r>
      <w:r w:rsidR="00A9749D">
        <w:t xml:space="preserve">and </w:t>
      </w:r>
      <w:r w:rsidR="00C32D31">
        <w:t xml:space="preserve">expert </w:t>
      </w:r>
      <w:r w:rsidR="00A9749D">
        <w:t xml:space="preserve">consultants </w:t>
      </w:r>
      <w:r w:rsidR="00F91298">
        <w:t>who kn</w:t>
      </w:r>
      <w:r w:rsidR="00EB4E08">
        <w:t>e</w:t>
      </w:r>
      <w:r w:rsidR="00F91298">
        <w:t xml:space="preserve">w </w:t>
      </w:r>
      <w:r w:rsidR="00691C7D">
        <w:t xml:space="preserve">about </w:t>
      </w:r>
      <w:r w:rsidR="00A9749D">
        <w:t xml:space="preserve">energy planning </w:t>
      </w:r>
      <w:r w:rsidR="00691C7D">
        <w:t>nationally and internationally</w:t>
      </w:r>
      <w:r w:rsidR="00A9749D">
        <w:t xml:space="preserve">. </w:t>
      </w:r>
      <w:r w:rsidR="00273264">
        <w:t>T</w:t>
      </w:r>
      <w:r w:rsidR="00C32D31">
        <w:t xml:space="preserve">he </w:t>
      </w:r>
      <w:r w:rsidR="00273264">
        <w:t xml:space="preserve">efficiency </w:t>
      </w:r>
      <w:r w:rsidR="00C32D31">
        <w:t xml:space="preserve">experts whose work </w:t>
      </w:r>
      <w:r w:rsidR="00273264">
        <w:t>New Jersey</w:t>
      </w:r>
      <w:r w:rsidR="00C32D31">
        <w:t xml:space="preserve"> ignored </w:t>
      </w:r>
      <w:r w:rsidR="003D6779">
        <w:t xml:space="preserve">are </w:t>
      </w:r>
      <w:r w:rsidR="00273264">
        <w:t xml:space="preserve">now </w:t>
      </w:r>
      <w:r w:rsidR="003D6779">
        <w:t xml:space="preserve">busy </w:t>
      </w:r>
      <w:r w:rsidR="009F15AF">
        <w:t>helping</w:t>
      </w:r>
      <w:r w:rsidR="000E6EB1">
        <w:t xml:space="preserve"> other states</w:t>
      </w:r>
      <w:r w:rsidR="000608BB">
        <w:t xml:space="preserve">. </w:t>
      </w:r>
    </w:p>
    <w:p w14:paraId="7EDCE954" w14:textId="77777777" w:rsidR="007C403B" w:rsidRDefault="007C403B" w:rsidP="00A93B68">
      <w:pPr>
        <w:tabs>
          <w:tab w:val="right" w:pos="8640"/>
        </w:tabs>
        <w:spacing w:after="0" w:line="360" w:lineRule="auto"/>
        <w:jc w:val="left"/>
      </w:pPr>
    </w:p>
    <w:p w14:paraId="098BED6E" w14:textId="5CF04B7B" w:rsidR="00B244ED" w:rsidRPr="00FD7772" w:rsidRDefault="00300813" w:rsidP="00A93B68">
      <w:pPr>
        <w:tabs>
          <w:tab w:val="right" w:pos="8640"/>
        </w:tabs>
        <w:spacing w:after="0" w:line="360" w:lineRule="auto"/>
        <w:jc w:val="left"/>
      </w:pPr>
      <w:r>
        <w:t>In the final</w:t>
      </w:r>
      <w:r w:rsidR="00EB4E08">
        <w:t xml:space="preserve"> 2011</w:t>
      </w:r>
      <w:r>
        <w:t xml:space="preserve"> EMP, the Administration</w:t>
      </w:r>
      <w:r w:rsidR="00C144D7">
        <w:t xml:space="preserve"> should have provided clear, specific</w:t>
      </w:r>
      <w:r>
        <w:t xml:space="preserve"> goals</w:t>
      </w:r>
      <w:r w:rsidR="00F74F6B">
        <w:t>,</w:t>
      </w:r>
      <w:r>
        <w:t xml:space="preserve"> and </w:t>
      </w:r>
      <w:r w:rsidR="00C144D7">
        <w:t xml:space="preserve">corrected its </w:t>
      </w:r>
      <w:r w:rsidR="00B616AB">
        <w:t>misleading</w:t>
      </w:r>
      <w:r w:rsidR="001B04A2">
        <w:t xml:space="preserve"> use</w:t>
      </w:r>
      <w:r w:rsidR="00C144D7">
        <w:t xml:space="preserve"> of the load forecast</w:t>
      </w:r>
      <w:r w:rsidR="00EB4E08">
        <w:t xml:space="preserve">. I </w:t>
      </w:r>
      <w:r>
        <w:t>documented those issues</w:t>
      </w:r>
      <w:r w:rsidR="00BC5A67">
        <w:t xml:space="preserve"> and followed up with BPU staff</w:t>
      </w:r>
      <w:r w:rsidR="00C144D7">
        <w:t xml:space="preserve"> </w:t>
      </w:r>
      <w:r w:rsidR="00F74F6B">
        <w:t>to assure</w:t>
      </w:r>
      <w:r w:rsidR="00C144D7">
        <w:t xml:space="preserve"> the </w:t>
      </w:r>
      <w:r w:rsidR="009F15AF">
        <w:t>Administration</w:t>
      </w:r>
      <w:r w:rsidR="00C144D7">
        <w:t xml:space="preserve"> understood</w:t>
      </w:r>
      <w:r w:rsidR="009F15AF">
        <w:t xml:space="preserve"> </w:t>
      </w:r>
      <w:r w:rsidR="00B077BF">
        <w:t>prior to</w:t>
      </w:r>
      <w:r w:rsidR="009F15AF">
        <w:t xml:space="preserve"> the final EMP</w:t>
      </w:r>
      <w:r w:rsidR="00EC16ED">
        <w:t>.</w:t>
      </w:r>
      <w:r w:rsidR="00EB4E08">
        <w:t xml:space="preserve"> </w:t>
      </w:r>
      <w:r w:rsidR="007C403B">
        <w:t xml:space="preserve">Besides </w:t>
      </w:r>
      <w:r w:rsidR="007C403B" w:rsidRPr="00AD13B5">
        <w:t>my</w:t>
      </w:r>
      <w:r w:rsidR="007C403B">
        <w:t xml:space="preserve"> </w:t>
      </w:r>
      <w:r w:rsidR="006B334E">
        <w:t xml:space="preserve">own </w:t>
      </w:r>
      <w:r w:rsidR="007C403B">
        <w:t>comments from August 2011,</w:t>
      </w:r>
      <w:r w:rsidR="004F7F36">
        <w:t xml:space="preserve"> official comments from </w:t>
      </w:r>
      <w:r w:rsidR="00635446">
        <w:t xml:space="preserve">outside </w:t>
      </w:r>
      <w:r w:rsidR="004F7F36">
        <w:t xml:space="preserve">energy efficiency experts </w:t>
      </w:r>
      <w:r w:rsidR="00AD13B5">
        <w:t xml:space="preserve">were </w:t>
      </w:r>
      <w:r w:rsidR="00AD13B5">
        <w:lastRenderedPageBreak/>
        <w:t>not published</w:t>
      </w:r>
      <w:r w:rsidR="004F7F36">
        <w:t xml:space="preserve"> in the EMP records.</w:t>
      </w:r>
      <w:r w:rsidR="00C144D7">
        <w:rPr>
          <w:rStyle w:val="FootnoteReference"/>
        </w:rPr>
        <w:footnoteReference w:id="9"/>
      </w:r>
      <w:r w:rsidR="004F7F36">
        <w:t xml:space="preserve"> </w:t>
      </w:r>
      <w:r w:rsidR="00635446">
        <w:t>That includes letters</w:t>
      </w:r>
      <w:r w:rsidR="004F7F36">
        <w:t xml:space="preserve"> from the American Council for an Energy Efficient Economy (</w:t>
      </w:r>
      <w:r w:rsidR="005A06A1">
        <w:t>August 10, 2011</w:t>
      </w:r>
      <w:r w:rsidR="004F7F36">
        <w:t>)</w:t>
      </w:r>
      <w:r w:rsidR="004F1B51">
        <w:t xml:space="preserve"> and Northeast Energy Efficiency Partnerships (August 25, 2011)</w:t>
      </w:r>
      <w:r w:rsidR="00E4645D">
        <w:t xml:space="preserve">. </w:t>
      </w:r>
      <w:r w:rsidR="00663BFD" w:rsidRPr="00FD7772">
        <w:t>If you</w:t>
      </w:r>
      <w:r w:rsidR="00B244ED" w:rsidRPr="00FD7772">
        <w:t xml:space="preserve"> </w:t>
      </w:r>
      <w:r w:rsidR="00EF0DF3" w:rsidRPr="00FD7772">
        <w:t>were not</w:t>
      </w:r>
      <w:r w:rsidR="00B244ED" w:rsidRPr="00FD7772">
        <w:t xml:space="preserve"> </w:t>
      </w:r>
      <w:r w:rsidR="00663BFD" w:rsidRPr="00FD7772">
        <w:t xml:space="preserve">a </w:t>
      </w:r>
      <w:r w:rsidR="00B244ED" w:rsidRPr="00FD7772">
        <w:t xml:space="preserve">specialist in </w:t>
      </w:r>
      <w:r w:rsidR="00663BFD" w:rsidRPr="00FD7772">
        <w:t>power</w:t>
      </w:r>
      <w:r w:rsidR="00B244ED" w:rsidRPr="00FD7772">
        <w:t xml:space="preserve"> planning</w:t>
      </w:r>
      <w:r w:rsidR="009E7F5E" w:rsidRPr="00FD7772">
        <w:t xml:space="preserve"> </w:t>
      </w:r>
      <w:r w:rsidR="001E5772">
        <w:t xml:space="preserve">in 2011, </w:t>
      </w:r>
      <w:r w:rsidR="009E7F5E" w:rsidRPr="00FD7772">
        <w:t xml:space="preserve">or </w:t>
      </w:r>
      <w:r w:rsidR="00EF0DF3" w:rsidRPr="00FD7772">
        <w:t>did not</w:t>
      </w:r>
      <w:r w:rsidR="009E7F5E" w:rsidRPr="00FD7772">
        <w:t xml:space="preserve"> </w:t>
      </w:r>
      <w:r w:rsidR="00AD13B5">
        <w:t xml:space="preserve">did not learn </w:t>
      </w:r>
      <w:r w:rsidR="00B077BF">
        <w:t xml:space="preserve">about </w:t>
      </w:r>
      <w:r w:rsidR="00AD13B5">
        <w:t>it from</w:t>
      </w:r>
      <w:r w:rsidR="009E7F5E" w:rsidRPr="00FD7772">
        <w:t xml:space="preserve"> specialist</w:t>
      </w:r>
      <w:r w:rsidR="009F15AF">
        <w:t>s</w:t>
      </w:r>
      <w:r w:rsidR="00663BFD" w:rsidRPr="00FD7772">
        <w:t>, there was no way</w:t>
      </w:r>
      <w:r w:rsidR="00B244ED" w:rsidRPr="00FD7772">
        <w:t xml:space="preserve"> </w:t>
      </w:r>
      <w:r w:rsidR="0091565D">
        <w:t xml:space="preserve">to put </w:t>
      </w:r>
      <w:r w:rsidR="00E70299">
        <w:t>the energy efficiency part of the plan</w:t>
      </w:r>
      <w:r w:rsidR="0091565D">
        <w:t xml:space="preserve"> into context</w:t>
      </w:r>
      <w:r w:rsidR="00B244ED" w:rsidRPr="00FD7772">
        <w:t xml:space="preserve">. The </w:t>
      </w:r>
      <w:r w:rsidR="00F74F6B">
        <w:t xml:space="preserve">EMP’s </w:t>
      </w:r>
      <w:r w:rsidR="000C3B85" w:rsidRPr="00FD7772">
        <w:t xml:space="preserve">claims about </w:t>
      </w:r>
      <w:r w:rsidR="00E70299">
        <w:t xml:space="preserve">the </w:t>
      </w:r>
      <w:r w:rsidR="000C3B85" w:rsidRPr="00FD7772">
        <w:t>aggressiveness of energy efficiency</w:t>
      </w:r>
      <w:r w:rsidR="000C3B85">
        <w:t xml:space="preserve"> and </w:t>
      </w:r>
      <w:r w:rsidR="00ED58C6">
        <w:t xml:space="preserve">a </w:t>
      </w:r>
      <w:r>
        <w:t>hugely</w:t>
      </w:r>
      <w:r w:rsidR="00D35240">
        <w:t xml:space="preserve"> </w:t>
      </w:r>
      <w:r w:rsidR="0027665F" w:rsidRPr="00FD7772">
        <w:t xml:space="preserve">exaggerated </w:t>
      </w:r>
      <w:r w:rsidR="00B244ED" w:rsidRPr="00FD7772">
        <w:t>graph</w:t>
      </w:r>
      <w:r w:rsidR="00DF3444" w:rsidRPr="00FD7772">
        <w:rPr>
          <w:rStyle w:val="FootnoteReference"/>
        </w:rPr>
        <w:footnoteReference w:id="10"/>
      </w:r>
      <w:r w:rsidR="00B244ED" w:rsidRPr="00FD7772">
        <w:t xml:space="preserve"> </w:t>
      </w:r>
      <w:r w:rsidR="00EE584A" w:rsidRPr="00FD7772">
        <w:t xml:space="preserve">in the EMP </w:t>
      </w:r>
      <w:r w:rsidR="004611FB">
        <w:t xml:space="preserve">report </w:t>
      </w:r>
      <w:r w:rsidR="00B244ED" w:rsidRPr="00FD7772">
        <w:t xml:space="preserve">were key information </w:t>
      </w:r>
      <w:r w:rsidR="00153B8A">
        <w:t xml:space="preserve">that </w:t>
      </w:r>
      <w:r w:rsidR="00EC16ED">
        <w:t>people relied on</w:t>
      </w:r>
      <w:r w:rsidR="009F27DC" w:rsidRPr="00FD7772">
        <w:t>.</w:t>
      </w:r>
      <w:r w:rsidR="00B244ED" w:rsidRPr="00FD7772">
        <w:t xml:space="preserve"> </w:t>
      </w:r>
    </w:p>
    <w:p w14:paraId="4A3B316F" w14:textId="77777777" w:rsidR="00FD7772" w:rsidRDefault="00FD7772" w:rsidP="00791C19">
      <w:pPr>
        <w:tabs>
          <w:tab w:val="right" w:pos="8640"/>
        </w:tabs>
        <w:spacing w:after="0" w:line="360" w:lineRule="auto"/>
        <w:jc w:val="left"/>
      </w:pPr>
    </w:p>
    <w:p w14:paraId="736434B7" w14:textId="4FA5A3F9" w:rsidR="001567D3" w:rsidRDefault="00E8692E" w:rsidP="00791C19">
      <w:pPr>
        <w:tabs>
          <w:tab w:val="right" w:pos="8640"/>
        </w:tabs>
        <w:spacing w:after="0" w:line="360" w:lineRule="auto"/>
        <w:jc w:val="left"/>
      </w:pPr>
      <w:r>
        <w:t xml:space="preserve">Thank you. </w:t>
      </w:r>
      <w:r w:rsidR="001567D3">
        <w:t xml:space="preserve">I </w:t>
      </w:r>
      <w:r w:rsidR="00BB24F3">
        <w:t>want</w:t>
      </w:r>
      <w:r w:rsidR="004F1B51">
        <w:t xml:space="preserve"> to respond to</w:t>
      </w:r>
      <w:r w:rsidR="001567D3">
        <w:t xml:space="preserve"> </w:t>
      </w:r>
      <w:r w:rsidR="001B04A2">
        <w:t xml:space="preserve">related </w:t>
      </w:r>
      <w:r w:rsidR="001567D3">
        <w:t>questions.</w:t>
      </w:r>
      <w:r w:rsidR="00866C37">
        <w:t xml:space="preserve"> </w:t>
      </w:r>
    </w:p>
    <w:p w14:paraId="66473BDA" w14:textId="77777777" w:rsidR="001567D3" w:rsidRDefault="001567D3" w:rsidP="00791C19">
      <w:pPr>
        <w:tabs>
          <w:tab w:val="right" w:pos="8640"/>
        </w:tabs>
        <w:spacing w:after="0" w:line="360" w:lineRule="auto"/>
        <w:jc w:val="left"/>
      </w:pPr>
    </w:p>
    <w:p w14:paraId="2780FB8B" w14:textId="77777777" w:rsidR="001567D3" w:rsidRPr="00FD7772" w:rsidRDefault="001567D3" w:rsidP="00791C19">
      <w:pPr>
        <w:tabs>
          <w:tab w:val="right" w:pos="8640"/>
        </w:tabs>
        <w:spacing w:after="0" w:line="360" w:lineRule="auto"/>
        <w:jc w:val="left"/>
      </w:pPr>
    </w:p>
    <w:p w14:paraId="5E08D6C0" w14:textId="14236875" w:rsidR="00FD7772" w:rsidRPr="00FD7772" w:rsidRDefault="00FD7772" w:rsidP="00791C19">
      <w:pPr>
        <w:tabs>
          <w:tab w:val="right" w:pos="8640"/>
        </w:tabs>
        <w:spacing w:after="0" w:line="360" w:lineRule="auto"/>
        <w:jc w:val="left"/>
        <w:rPr>
          <w:u w:val="single"/>
        </w:rPr>
      </w:pPr>
      <w:r w:rsidRPr="00FD7772">
        <w:rPr>
          <w:u w:val="single"/>
        </w:rPr>
        <w:t>References</w:t>
      </w:r>
    </w:p>
    <w:p w14:paraId="77538F4A" w14:textId="3165CAE8" w:rsidR="00CA063D" w:rsidRDefault="00CA063D" w:rsidP="009F1082">
      <w:pPr>
        <w:tabs>
          <w:tab w:val="right" w:pos="8640"/>
        </w:tabs>
        <w:spacing w:after="0" w:line="360" w:lineRule="auto"/>
        <w:ind w:left="360" w:hanging="360"/>
        <w:jc w:val="left"/>
      </w:pPr>
      <w:r>
        <w:t xml:space="preserve">Coakley, S. (2009). An Energy Efficiency Strategy for New Jersey: Achieving the Energy Master Plan Goals. Slide presentation to the NJ BPU on April 16, 2009. </w:t>
      </w:r>
      <w:r w:rsidR="00940893">
        <w:t xml:space="preserve">Available </w:t>
      </w:r>
      <w:r w:rsidR="00E37101">
        <w:t>at</w:t>
      </w:r>
      <w:r w:rsidR="00940893">
        <w:t xml:space="preserve"> </w:t>
      </w:r>
      <w:hyperlink r:id="rId8" w:history="1">
        <w:r w:rsidRPr="00557064">
          <w:rPr>
            <w:rStyle w:val="Hyperlink"/>
          </w:rPr>
          <w:t>www.njcleanenergy.com/files/file/Library/O41609%20PresntatnNeep.ppt</w:t>
        </w:r>
      </w:hyperlink>
      <w:r>
        <w:t xml:space="preserve"> </w:t>
      </w:r>
      <w:r w:rsidR="00E37101">
        <w:t>and elsewhere.</w:t>
      </w:r>
    </w:p>
    <w:p w14:paraId="3D8B24E2" w14:textId="41A76973" w:rsidR="00142305" w:rsidRDefault="00142305" w:rsidP="009F1082">
      <w:pPr>
        <w:tabs>
          <w:tab w:val="right" w:pos="8640"/>
        </w:tabs>
        <w:spacing w:after="0" w:line="360" w:lineRule="auto"/>
        <w:ind w:left="360" w:hanging="360"/>
        <w:jc w:val="left"/>
      </w:pPr>
      <w:r>
        <w:t xml:space="preserve">New Jersey Energy Master Plan (2008). </w:t>
      </w:r>
      <w:hyperlink r:id="rId9" w:history="1">
        <w:r w:rsidRPr="00557064">
          <w:rPr>
            <w:rStyle w:val="Hyperlink"/>
          </w:rPr>
          <w:t>www.state.nj.us/emp/docs/pdf/081022_emp.pdf</w:t>
        </w:r>
      </w:hyperlink>
      <w:r>
        <w:t>.</w:t>
      </w:r>
    </w:p>
    <w:p w14:paraId="4E8530CD" w14:textId="506D3DFA" w:rsidR="00142305" w:rsidRDefault="00142305" w:rsidP="009F1082">
      <w:pPr>
        <w:tabs>
          <w:tab w:val="right" w:pos="8640"/>
        </w:tabs>
        <w:spacing w:after="0" w:line="360" w:lineRule="auto"/>
        <w:ind w:left="360" w:hanging="360"/>
        <w:jc w:val="left"/>
      </w:pPr>
      <w:r>
        <w:t xml:space="preserve">New Jersey Energy Master Plan (2011). </w:t>
      </w:r>
      <w:hyperlink r:id="rId10" w:history="1">
        <w:r w:rsidR="00ED58C6" w:rsidRPr="00D2259B">
          <w:rPr>
            <w:rStyle w:val="Hyperlink"/>
          </w:rPr>
          <w:t>www.state.nj.us/emp/docs/pdf/2011_Final_Energy_ Master_Plan.pdf</w:t>
        </w:r>
      </w:hyperlink>
      <w:r w:rsidR="00E23D2F">
        <w:t>.</w:t>
      </w:r>
    </w:p>
    <w:p w14:paraId="490B1BED" w14:textId="5BAD0B82" w:rsidR="00FD7772" w:rsidRDefault="00FD7772" w:rsidP="009F1082">
      <w:pPr>
        <w:tabs>
          <w:tab w:val="right" w:pos="8640"/>
        </w:tabs>
        <w:spacing w:after="0" w:line="360" w:lineRule="auto"/>
        <w:ind w:left="360" w:hanging="360"/>
        <w:jc w:val="left"/>
      </w:pPr>
      <w:r w:rsidRPr="00FD7772">
        <w:t xml:space="preserve">Northeast Energy Efficiency Partnerships (2009). An Energy Efficiency Strategy for New Jersey, Achieving the 2020 Master Plan Goals. </w:t>
      </w:r>
      <w:hyperlink r:id="rId11" w:history="1">
        <w:r w:rsidRPr="00FD7772">
          <w:rPr>
            <w:rStyle w:val="Hyperlink"/>
          </w:rPr>
          <w:t>www.state.nj.us/emp/docs/pdf/041609NEEP.pdf</w:t>
        </w:r>
      </w:hyperlink>
      <w:r w:rsidRPr="00FD7772">
        <w:t xml:space="preserve"> </w:t>
      </w:r>
    </w:p>
    <w:p w14:paraId="02280F94" w14:textId="3E450BFF" w:rsidR="00E10E12" w:rsidRDefault="00E10E12" w:rsidP="009F1082">
      <w:pPr>
        <w:tabs>
          <w:tab w:val="right" w:pos="8640"/>
        </w:tabs>
        <w:spacing w:after="0" w:line="360" w:lineRule="auto"/>
        <w:ind w:left="360" w:hanging="360"/>
        <w:jc w:val="left"/>
      </w:pPr>
      <w:r>
        <w:t>PJM Resource Adequacy Planning Department (August 2015). Load Forecasting and Analysis Manual</w:t>
      </w:r>
      <w:r w:rsidR="004824DF">
        <w:t>, Revision 28</w:t>
      </w:r>
      <w:r>
        <w:t xml:space="preserve">. </w:t>
      </w:r>
      <w:hyperlink r:id="rId12" w:history="1">
        <w:r w:rsidRPr="00557064">
          <w:rPr>
            <w:rStyle w:val="Hyperlink"/>
          </w:rPr>
          <w:t>www.pjm.com/~/media/documents/manuals/m19.ashx</w:t>
        </w:r>
      </w:hyperlink>
      <w:r>
        <w:t xml:space="preserve"> </w:t>
      </w:r>
    </w:p>
    <w:p w14:paraId="5FC6D259" w14:textId="2B98042B" w:rsidR="00E10E12" w:rsidRPr="00FD7772" w:rsidRDefault="00E10E12" w:rsidP="009F1082">
      <w:pPr>
        <w:tabs>
          <w:tab w:val="right" w:pos="8640"/>
        </w:tabs>
        <w:spacing w:after="0" w:line="360" w:lineRule="auto"/>
        <w:ind w:left="360" w:hanging="360"/>
        <w:jc w:val="left"/>
      </w:pPr>
      <w:r>
        <w:t>PJM Resource Adequacy Planning Department (2011 - 2015). Load Forecast</w:t>
      </w:r>
      <w:r w:rsidR="00E37101">
        <w:t>s.</w:t>
      </w:r>
      <w:r>
        <w:t xml:space="preserve"> Report</w:t>
      </w:r>
      <w:r w:rsidR="00E37101">
        <w:t>s are at</w:t>
      </w:r>
      <w:r>
        <w:t xml:space="preserve"> </w:t>
      </w:r>
      <w:hyperlink r:id="rId13" w:history="1">
        <w:r w:rsidRPr="00557064">
          <w:rPr>
            <w:rStyle w:val="Hyperlink"/>
          </w:rPr>
          <w:t>www.pjm.com/documents/reports.aspx</w:t>
        </w:r>
      </w:hyperlink>
      <w:r w:rsidR="00E37101">
        <w:t>.</w:t>
      </w:r>
    </w:p>
    <w:sectPr w:rsidR="00E10E12" w:rsidRPr="00FD7772" w:rsidSect="005628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2240" w:h="15840" w:code="1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74D91" w14:textId="77777777" w:rsidR="00955DCF" w:rsidRDefault="00955DCF">
      <w:r>
        <w:separator/>
      </w:r>
    </w:p>
  </w:endnote>
  <w:endnote w:type="continuationSeparator" w:id="0">
    <w:p w14:paraId="7BC31311" w14:textId="77777777" w:rsidR="00955DCF" w:rsidRDefault="0095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82C95" w14:textId="77777777" w:rsidR="003E167E" w:rsidRDefault="003E16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DF778" w14:textId="77777777" w:rsidR="003E167E" w:rsidRDefault="003E16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035F4" w14:textId="77777777" w:rsidR="003E167E" w:rsidRDefault="003E1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6E609" w14:textId="77777777" w:rsidR="00955DCF" w:rsidRDefault="00955DCF">
      <w:r>
        <w:separator/>
      </w:r>
    </w:p>
  </w:footnote>
  <w:footnote w:type="continuationSeparator" w:id="0">
    <w:p w14:paraId="086DAA90" w14:textId="77777777" w:rsidR="00955DCF" w:rsidRDefault="00955DCF">
      <w:r>
        <w:continuationSeparator/>
      </w:r>
    </w:p>
  </w:footnote>
  <w:footnote w:id="1">
    <w:p w14:paraId="40AE489D" w14:textId="2EB38CA7" w:rsidR="004B5C03" w:rsidRDefault="004B5C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54596">
        <w:t xml:space="preserve">See page 30 of the final 2011 EMP. </w:t>
      </w:r>
      <w:r w:rsidR="00386779">
        <w:t xml:space="preserve">Original </w:t>
      </w:r>
      <w:r w:rsidR="009E5255">
        <w:t>goals</w:t>
      </w:r>
      <w:r w:rsidR="00386779">
        <w:t xml:space="preserve"> were set in 2008 to be achieved in 2020</w:t>
      </w:r>
      <w:r w:rsidR="00133459">
        <w:t xml:space="preserve">. </w:t>
      </w:r>
    </w:p>
  </w:footnote>
  <w:footnote w:id="2">
    <w:p w14:paraId="1F1993DC" w14:textId="2E3FDB87" w:rsidR="005774F4" w:rsidRDefault="005774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66F55">
        <w:t>Based on PJM data, w</w:t>
      </w:r>
      <w:r w:rsidR="00710F1E">
        <w:t xml:space="preserve">hat the Administration called aggressive energy efficiency </w:t>
      </w:r>
      <w:r w:rsidR="000612AD">
        <w:t xml:space="preserve">in the EMP </w:t>
      </w:r>
      <w:r w:rsidR="00E2042A">
        <w:t>would have cut</w:t>
      </w:r>
      <w:r w:rsidR="00A40FF7">
        <w:t xml:space="preserve"> program savings </w:t>
      </w:r>
      <w:r w:rsidR="00E2042A">
        <w:t xml:space="preserve">to </w:t>
      </w:r>
      <w:r w:rsidR="00924F66">
        <w:t>roughly</w:t>
      </w:r>
      <w:r w:rsidR="00E2042A">
        <w:t xml:space="preserve"> 1</w:t>
      </w:r>
      <w:r w:rsidR="00A40FF7">
        <w:t>5%</w:t>
      </w:r>
      <w:r w:rsidR="00E2042A">
        <w:t xml:space="preserve"> of the energy savings goal set in 2008</w:t>
      </w:r>
      <w:r w:rsidR="00A40FF7">
        <w:t>.</w:t>
      </w:r>
      <w:r w:rsidR="00710F1E">
        <w:t xml:space="preserve"> </w:t>
      </w:r>
      <w:r w:rsidR="00924F66">
        <w:t>As i</w:t>
      </w:r>
      <w:r w:rsidR="00C77B2B">
        <w:t>t</w:t>
      </w:r>
      <w:r w:rsidR="00924F66">
        <w:t xml:space="preserve"> happens</w:t>
      </w:r>
      <w:r w:rsidR="000701BE">
        <w:t xml:space="preserve">, a </w:t>
      </w:r>
      <w:r w:rsidR="00B65E0F">
        <w:t xml:space="preserve">March </w:t>
      </w:r>
      <w:r w:rsidR="000701BE">
        <w:t xml:space="preserve">2011 graph </w:t>
      </w:r>
      <w:r w:rsidR="00E70462">
        <w:t>from</w:t>
      </w:r>
      <w:r w:rsidR="000701BE">
        <w:t xml:space="preserve"> Rutgers </w:t>
      </w:r>
      <w:r w:rsidR="009A7B93">
        <w:t xml:space="preserve">Center for Energy, Economic &amp; Environmental Policy (CEEEP) </w:t>
      </w:r>
      <w:r w:rsidR="007C403B">
        <w:t>illustrates</w:t>
      </w:r>
      <w:r w:rsidR="000701BE">
        <w:t xml:space="preserve"> this </w:t>
      </w:r>
      <w:r w:rsidR="00E378D8">
        <w:t>point</w:t>
      </w:r>
      <w:r w:rsidR="000701BE">
        <w:t>.</w:t>
      </w:r>
    </w:p>
  </w:footnote>
  <w:footnote w:id="3">
    <w:p w14:paraId="29EF1A9E" w14:textId="6F01A2C8" w:rsidR="00C634DE" w:rsidRDefault="00C634DE">
      <w:pPr>
        <w:pStyle w:val="FootnoteText"/>
      </w:pPr>
      <w:r>
        <w:rPr>
          <w:rStyle w:val="FootnoteReference"/>
        </w:rPr>
        <w:footnoteRef/>
      </w:r>
      <w:r>
        <w:t xml:space="preserve"> Those comments </w:t>
      </w:r>
      <w:r w:rsidR="00C77B2B">
        <w:t xml:space="preserve">on the draft 2011 EMP </w:t>
      </w:r>
      <w:r>
        <w:t>are attached.</w:t>
      </w:r>
    </w:p>
  </w:footnote>
  <w:footnote w:id="4">
    <w:p w14:paraId="35827F61" w14:textId="3E8B1966" w:rsidR="00632E51" w:rsidRDefault="00632E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24F66">
        <w:t>Th</w:t>
      </w:r>
      <w:r>
        <w:t>e claim of aggressive energy efficiency appears on pages 30, 110, 111, 116 and 120 of the final 2011 EMP.</w:t>
      </w:r>
    </w:p>
  </w:footnote>
  <w:footnote w:id="5">
    <w:p w14:paraId="77A3DCFE" w14:textId="6CF6268B" w:rsidR="004C5030" w:rsidRDefault="004C5030">
      <w:pPr>
        <w:pStyle w:val="FootnoteText"/>
      </w:pPr>
      <w:r>
        <w:rPr>
          <w:rStyle w:val="FootnoteReference"/>
        </w:rPr>
        <w:footnoteRef/>
      </w:r>
      <w:r>
        <w:t xml:space="preserve"> See PJM’s</w:t>
      </w:r>
      <w:r w:rsidR="00C144D7">
        <w:t xml:space="preserve"> Load Forecasting and Analysis M</w:t>
      </w:r>
      <w:r>
        <w:t>anual</w:t>
      </w:r>
      <w:r w:rsidR="004D4A71">
        <w:t xml:space="preserve"> and PJM Load Forecasts</w:t>
      </w:r>
      <w:r>
        <w:t xml:space="preserve">. </w:t>
      </w:r>
      <w:r w:rsidR="003A06D6">
        <w:t>My</w:t>
      </w:r>
      <w:r>
        <w:t xml:space="preserve"> interpretation </w:t>
      </w:r>
      <w:r w:rsidR="00EC25BA">
        <w:t xml:space="preserve">is based on </w:t>
      </w:r>
      <w:r w:rsidR="009C7DA1">
        <w:t>econometric modeling</w:t>
      </w:r>
      <w:r w:rsidR="00EC25BA">
        <w:t xml:space="preserve">, and </w:t>
      </w:r>
      <w:r>
        <w:t xml:space="preserve">was confirmed </w:t>
      </w:r>
      <w:r w:rsidR="003A06D6">
        <w:t>in an</w:t>
      </w:r>
      <w:r w:rsidR="005D5DB9">
        <w:t xml:space="preserve"> August 5, 2015 </w:t>
      </w:r>
      <w:r w:rsidR="003A06D6">
        <w:t xml:space="preserve">discussion </w:t>
      </w:r>
      <w:r>
        <w:t xml:space="preserve">with </w:t>
      </w:r>
      <w:r w:rsidR="003A06D6">
        <w:t xml:space="preserve">John Reynolds, </w:t>
      </w:r>
      <w:r>
        <w:t xml:space="preserve">Chair of PJM’s Load Analysis Subcommittee. </w:t>
      </w:r>
    </w:p>
  </w:footnote>
  <w:footnote w:id="6">
    <w:p w14:paraId="5B29F0DF" w14:textId="77777777" w:rsidR="00B077BF" w:rsidRDefault="00B077BF" w:rsidP="00B077BF">
      <w:pPr>
        <w:pStyle w:val="FootnoteText"/>
      </w:pPr>
      <w:r>
        <w:rPr>
          <w:rStyle w:val="FootnoteReference"/>
        </w:rPr>
        <w:footnoteRef/>
      </w:r>
      <w:r>
        <w:t xml:space="preserve"> See Figure 11 and Figure 10 in the final 2011 EMP. I am not addressing peak load issues at this time, though I discussed the graph of peak load goals in attached comments from August 25, 2011.</w:t>
      </w:r>
    </w:p>
  </w:footnote>
  <w:footnote w:id="7">
    <w:p w14:paraId="4150A13C" w14:textId="029FD747" w:rsidR="00FC194A" w:rsidRDefault="00FC19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27502">
        <w:t xml:space="preserve">E.g., </w:t>
      </w:r>
      <w:r>
        <w:t>the Global Warming Response Act</w:t>
      </w:r>
    </w:p>
  </w:footnote>
  <w:footnote w:id="8">
    <w:p w14:paraId="1DAFA26C" w14:textId="3699E9AE" w:rsidR="009818F6" w:rsidRDefault="009818F6">
      <w:pPr>
        <w:pStyle w:val="FootnoteText"/>
      </w:pPr>
      <w:r>
        <w:rPr>
          <w:rStyle w:val="FootnoteReference"/>
        </w:rPr>
        <w:footnoteRef/>
      </w:r>
      <w:r>
        <w:t xml:space="preserve"> See references for Northeast Energy Efficiency Partnerships (NEEP) and Sue Coakley of NEEP.</w:t>
      </w:r>
    </w:p>
  </w:footnote>
  <w:footnote w:id="9">
    <w:p w14:paraId="7E58498F" w14:textId="67CB2FE3" w:rsidR="00C144D7" w:rsidRDefault="00C144D7">
      <w:pPr>
        <w:pStyle w:val="FootnoteText"/>
      </w:pPr>
      <w:r>
        <w:rPr>
          <w:rStyle w:val="FootnoteReference"/>
        </w:rPr>
        <w:footnoteRef/>
      </w:r>
      <w:r>
        <w:t xml:space="preserve"> Based on all assembled comments </w:t>
      </w:r>
      <w:r w:rsidR="004611FB">
        <w:t xml:space="preserve">posted </w:t>
      </w:r>
      <w:r>
        <w:t>on the EMP website</w:t>
      </w:r>
      <w:r w:rsidR="004611FB">
        <w:t xml:space="preserve"> in 2011</w:t>
      </w:r>
      <w:r>
        <w:t>.</w:t>
      </w:r>
    </w:p>
  </w:footnote>
  <w:footnote w:id="10">
    <w:p w14:paraId="779A4157" w14:textId="550D4BEA" w:rsidR="00DF3444" w:rsidRDefault="00DF34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6681E">
        <w:t xml:space="preserve">Figure 11 in the final 2011 EMP makes an “apples and oranges” comparison showing energy savings more than 8 times bigger than the numbers </w:t>
      </w:r>
      <w:r w:rsidR="00D03364">
        <w:t>indicate</w:t>
      </w:r>
      <w:r w:rsidR="00671D9C">
        <w:t xml:space="preserve">. </w:t>
      </w:r>
      <w:r w:rsidR="004611FB">
        <w:t>This</w:t>
      </w:r>
      <w:r w:rsidR="000C3B85">
        <w:t xml:space="preserve"> comparison is explained in</w:t>
      </w:r>
      <w:r w:rsidR="005076FE">
        <w:t xml:space="preserve"> </w:t>
      </w:r>
      <w:r w:rsidR="005C4B1E">
        <w:t>attached comments</w:t>
      </w:r>
      <w:r w:rsidR="00131122">
        <w:t xml:space="preserve"> </w:t>
      </w:r>
      <w:r>
        <w:t>submitted on August 25, 2011.</w:t>
      </w:r>
      <w:r w:rsidR="00C6681E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14FD6" w14:textId="77777777" w:rsidR="003E167E" w:rsidRDefault="003E16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F1288" w14:textId="5CAA1C1A" w:rsidR="000B5672" w:rsidRDefault="00AC2329" w:rsidP="00AC232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16EE">
      <w:rPr>
        <w:noProof/>
      </w:rPr>
      <w:t>1</w:t>
    </w:r>
    <w:r>
      <w:rPr>
        <w:noProof/>
      </w:rPr>
      <w:fldChar w:fldCharType="end"/>
    </w:r>
    <w:r>
      <w:rPr>
        <w:noProof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647D4" w14:textId="77777777" w:rsidR="003E167E" w:rsidRDefault="003E16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6D3D1126"/>
    <w:multiLevelType w:val="hybridMultilevel"/>
    <w:tmpl w:val="2A80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92674A1"/>
    <w:multiLevelType w:val="hybridMultilevel"/>
    <w:tmpl w:val="47FE3F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27"/>
    <w:rsid w:val="00001CDA"/>
    <w:rsid w:val="000056CB"/>
    <w:rsid w:val="00010930"/>
    <w:rsid w:val="00020475"/>
    <w:rsid w:val="00023810"/>
    <w:rsid w:val="0003272C"/>
    <w:rsid w:val="00034F8C"/>
    <w:rsid w:val="00035356"/>
    <w:rsid w:val="00046103"/>
    <w:rsid w:val="000461D3"/>
    <w:rsid w:val="000516E4"/>
    <w:rsid w:val="0005423B"/>
    <w:rsid w:val="000608BB"/>
    <w:rsid w:val="000612AD"/>
    <w:rsid w:val="000623DF"/>
    <w:rsid w:val="000667DE"/>
    <w:rsid w:val="00066F55"/>
    <w:rsid w:val="00067C5A"/>
    <w:rsid w:val="000701BE"/>
    <w:rsid w:val="00073E88"/>
    <w:rsid w:val="00076D92"/>
    <w:rsid w:val="00081469"/>
    <w:rsid w:val="00090153"/>
    <w:rsid w:val="00092C21"/>
    <w:rsid w:val="00094CDE"/>
    <w:rsid w:val="000A105C"/>
    <w:rsid w:val="000A136E"/>
    <w:rsid w:val="000A4A3E"/>
    <w:rsid w:val="000A610C"/>
    <w:rsid w:val="000B00C7"/>
    <w:rsid w:val="000B5672"/>
    <w:rsid w:val="000B76E4"/>
    <w:rsid w:val="000C0BA8"/>
    <w:rsid w:val="000C343C"/>
    <w:rsid w:val="000C3B85"/>
    <w:rsid w:val="000D04D1"/>
    <w:rsid w:val="000D16F8"/>
    <w:rsid w:val="000D4193"/>
    <w:rsid w:val="000D599A"/>
    <w:rsid w:val="000D6E17"/>
    <w:rsid w:val="000E6EB1"/>
    <w:rsid w:val="000E7449"/>
    <w:rsid w:val="000F1A34"/>
    <w:rsid w:val="000F2A07"/>
    <w:rsid w:val="00104CD5"/>
    <w:rsid w:val="00106325"/>
    <w:rsid w:val="00112FB0"/>
    <w:rsid w:val="001222AC"/>
    <w:rsid w:val="00127502"/>
    <w:rsid w:val="00131122"/>
    <w:rsid w:val="0013119A"/>
    <w:rsid w:val="00133459"/>
    <w:rsid w:val="00136DB6"/>
    <w:rsid w:val="00142305"/>
    <w:rsid w:val="0014249C"/>
    <w:rsid w:val="001429A7"/>
    <w:rsid w:val="00150FCE"/>
    <w:rsid w:val="00152DE6"/>
    <w:rsid w:val="0015317A"/>
    <w:rsid w:val="00153B8A"/>
    <w:rsid w:val="00155519"/>
    <w:rsid w:val="001567D3"/>
    <w:rsid w:val="00157BDF"/>
    <w:rsid w:val="00160D60"/>
    <w:rsid w:val="00162199"/>
    <w:rsid w:val="00162C9A"/>
    <w:rsid w:val="001709B2"/>
    <w:rsid w:val="00174A45"/>
    <w:rsid w:val="00176C1D"/>
    <w:rsid w:val="00177C2D"/>
    <w:rsid w:val="00181CEE"/>
    <w:rsid w:val="00182961"/>
    <w:rsid w:val="00186D7B"/>
    <w:rsid w:val="00187BCF"/>
    <w:rsid w:val="001911F4"/>
    <w:rsid w:val="00196129"/>
    <w:rsid w:val="001B0071"/>
    <w:rsid w:val="001B04A2"/>
    <w:rsid w:val="001B1E07"/>
    <w:rsid w:val="001C0418"/>
    <w:rsid w:val="001D66EF"/>
    <w:rsid w:val="001D7764"/>
    <w:rsid w:val="001E16F9"/>
    <w:rsid w:val="001E2ED6"/>
    <w:rsid w:val="001E5772"/>
    <w:rsid w:val="001E60FD"/>
    <w:rsid w:val="001F0913"/>
    <w:rsid w:val="001F64DB"/>
    <w:rsid w:val="001F6B69"/>
    <w:rsid w:val="001F6F50"/>
    <w:rsid w:val="00201686"/>
    <w:rsid w:val="00206BEE"/>
    <w:rsid w:val="002146C1"/>
    <w:rsid w:val="00216A2B"/>
    <w:rsid w:val="00216B8E"/>
    <w:rsid w:val="0022013B"/>
    <w:rsid w:val="00221266"/>
    <w:rsid w:val="002228D8"/>
    <w:rsid w:val="00225E49"/>
    <w:rsid w:val="00237966"/>
    <w:rsid w:val="00251881"/>
    <w:rsid w:val="00254596"/>
    <w:rsid w:val="00254B9F"/>
    <w:rsid w:val="00254D1D"/>
    <w:rsid w:val="00271745"/>
    <w:rsid w:val="00273008"/>
    <w:rsid w:val="00273264"/>
    <w:rsid w:val="0027665F"/>
    <w:rsid w:val="00277AB2"/>
    <w:rsid w:val="00280142"/>
    <w:rsid w:val="00284932"/>
    <w:rsid w:val="00284D26"/>
    <w:rsid w:val="00286457"/>
    <w:rsid w:val="002920B0"/>
    <w:rsid w:val="002924B5"/>
    <w:rsid w:val="0029651D"/>
    <w:rsid w:val="002A0B37"/>
    <w:rsid w:val="002A5060"/>
    <w:rsid w:val="002A67D2"/>
    <w:rsid w:val="002A7888"/>
    <w:rsid w:val="002B7AD2"/>
    <w:rsid w:val="002B7AE5"/>
    <w:rsid w:val="002C077E"/>
    <w:rsid w:val="002C18C0"/>
    <w:rsid w:val="002C2825"/>
    <w:rsid w:val="002C6417"/>
    <w:rsid w:val="002C6463"/>
    <w:rsid w:val="002D3E8C"/>
    <w:rsid w:val="002D463C"/>
    <w:rsid w:val="002E18A3"/>
    <w:rsid w:val="002E4D4B"/>
    <w:rsid w:val="002E6763"/>
    <w:rsid w:val="002F0B26"/>
    <w:rsid w:val="002F5274"/>
    <w:rsid w:val="00300813"/>
    <w:rsid w:val="00302C28"/>
    <w:rsid w:val="00310E46"/>
    <w:rsid w:val="00320E26"/>
    <w:rsid w:val="003229C2"/>
    <w:rsid w:val="00322BAA"/>
    <w:rsid w:val="00327DDF"/>
    <w:rsid w:val="003336DB"/>
    <w:rsid w:val="0034020F"/>
    <w:rsid w:val="00341941"/>
    <w:rsid w:val="003466DB"/>
    <w:rsid w:val="0035300D"/>
    <w:rsid w:val="00355A41"/>
    <w:rsid w:val="00357DFE"/>
    <w:rsid w:val="00363B8A"/>
    <w:rsid w:val="00366936"/>
    <w:rsid w:val="00366E51"/>
    <w:rsid w:val="0037111E"/>
    <w:rsid w:val="0037156C"/>
    <w:rsid w:val="0037431F"/>
    <w:rsid w:val="00374512"/>
    <w:rsid w:val="00381BBB"/>
    <w:rsid w:val="003841E5"/>
    <w:rsid w:val="00386779"/>
    <w:rsid w:val="00387219"/>
    <w:rsid w:val="00391291"/>
    <w:rsid w:val="00393BA9"/>
    <w:rsid w:val="00394C82"/>
    <w:rsid w:val="00394EB8"/>
    <w:rsid w:val="00395B39"/>
    <w:rsid w:val="00397F23"/>
    <w:rsid w:val="003A06D6"/>
    <w:rsid w:val="003A2103"/>
    <w:rsid w:val="003A2414"/>
    <w:rsid w:val="003A39C4"/>
    <w:rsid w:val="003A7AA0"/>
    <w:rsid w:val="003B2C0A"/>
    <w:rsid w:val="003B3884"/>
    <w:rsid w:val="003B3C21"/>
    <w:rsid w:val="003B5443"/>
    <w:rsid w:val="003B7793"/>
    <w:rsid w:val="003C0271"/>
    <w:rsid w:val="003C0EC2"/>
    <w:rsid w:val="003C2A65"/>
    <w:rsid w:val="003C753A"/>
    <w:rsid w:val="003D1958"/>
    <w:rsid w:val="003D3AAA"/>
    <w:rsid w:val="003D6779"/>
    <w:rsid w:val="003E167E"/>
    <w:rsid w:val="003E79CF"/>
    <w:rsid w:val="003F1BC0"/>
    <w:rsid w:val="003F2391"/>
    <w:rsid w:val="003F5FAC"/>
    <w:rsid w:val="003F60FE"/>
    <w:rsid w:val="003F7670"/>
    <w:rsid w:val="004009B9"/>
    <w:rsid w:val="004017CF"/>
    <w:rsid w:val="004054D5"/>
    <w:rsid w:val="00414160"/>
    <w:rsid w:val="0041572B"/>
    <w:rsid w:val="00421EFE"/>
    <w:rsid w:val="004226AD"/>
    <w:rsid w:val="0042787B"/>
    <w:rsid w:val="00437132"/>
    <w:rsid w:val="00437F2C"/>
    <w:rsid w:val="00444BA8"/>
    <w:rsid w:val="0045361E"/>
    <w:rsid w:val="004543AC"/>
    <w:rsid w:val="00455F37"/>
    <w:rsid w:val="004600A3"/>
    <w:rsid w:val="004611FB"/>
    <w:rsid w:val="00473142"/>
    <w:rsid w:val="00474080"/>
    <w:rsid w:val="004762EF"/>
    <w:rsid w:val="00480C4A"/>
    <w:rsid w:val="004824DF"/>
    <w:rsid w:val="00484E13"/>
    <w:rsid w:val="0048519C"/>
    <w:rsid w:val="0048568E"/>
    <w:rsid w:val="00490575"/>
    <w:rsid w:val="00492B7F"/>
    <w:rsid w:val="004930BB"/>
    <w:rsid w:val="00493D7F"/>
    <w:rsid w:val="00496A7F"/>
    <w:rsid w:val="004A0397"/>
    <w:rsid w:val="004A5B22"/>
    <w:rsid w:val="004B4880"/>
    <w:rsid w:val="004B5C03"/>
    <w:rsid w:val="004B5CB5"/>
    <w:rsid w:val="004B6381"/>
    <w:rsid w:val="004B74A6"/>
    <w:rsid w:val="004C0AD2"/>
    <w:rsid w:val="004C1448"/>
    <w:rsid w:val="004C3300"/>
    <w:rsid w:val="004C5030"/>
    <w:rsid w:val="004C5558"/>
    <w:rsid w:val="004C7FD8"/>
    <w:rsid w:val="004D0D99"/>
    <w:rsid w:val="004D3651"/>
    <w:rsid w:val="004D4855"/>
    <w:rsid w:val="004D4A71"/>
    <w:rsid w:val="004E226C"/>
    <w:rsid w:val="004F1B51"/>
    <w:rsid w:val="004F5D56"/>
    <w:rsid w:val="004F7F36"/>
    <w:rsid w:val="00503237"/>
    <w:rsid w:val="005076FE"/>
    <w:rsid w:val="00511F05"/>
    <w:rsid w:val="005145FB"/>
    <w:rsid w:val="00516086"/>
    <w:rsid w:val="00517A71"/>
    <w:rsid w:val="00532C8D"/>
    <w:rsid w:val="00536111"/>
    <w:rsid w:val="00542D9F"/>
    <w:rsid w:val="005565F0"/>
    <w:rsid w:val="00557675"/>
    <w:rsid w:val="005628F3"/>
    <w:rsid w:val="00564BBA"/>
    <w:rsid w:val="00566CE0"/>
    <w:rsid w:val="005710A1"/>
    <w:rsid w:val="0057122D"/>
    <w:rsid w:val="005726E4"/>
    <w:rsid w:val="005735F5"/>
    <w:rsid w:val="00574E65"/>
    <w:rsid w:val="005754A4"/>
    <w:rsid w:val="005774F4"/>
    <w:rsid w:val="00580174"/>
    <w:rsid w:val="00582BD2"/>
    <w:rsid w:val="00593B10"/>
    <w:rsid w:val="005A06A1"/>
    <w:rsid w:val="005A6CB1"/>
    <w:rsid w:val="005B1493"/>
    <w:rsid w:val="005B54BF"/>
    <w:rsid w:val="005B6483"/>
    <w:rsid w:val="005C132A"/>
    <w:rsid w:val="005C39D3"/>
    <w:rsid w:val="005C446A"/>
    <w:rsid w:val="005C4B1E"/>
    <w:rsid w:val="005C6337"/>
    <w:rsid w:val="005D1022"/>
    <w:rsid w:val="005D5DB9"/>
    <w:rsid w:val="005D626A"/>
    <w:rsid w:val="005D709C"/>
    <w:rsid w:val="005E025A"/>
    <w:rsid w:val="005E4A76"/>
    <w:rsid w:val="005E5DB4"/>
    <w:rsid w:val="005F1C1D"/>
    <w:rsid w:val="005F4557"/>
    <w:rsid w:val="005F603A"/>
    <w:rsid w:val="005F6FBC"/>
    <w:rsid w:val="005F7F62"/>
    <w:rsid w:val="0060153C"/>
    <w:rsid w:val="00602A54"/>
    <w:rsid w:val="00603250"/>
    <w:rsid w:val="00603565"/>
    <w:rsid w:val="0060650A"/>
    <w:rsid w:val="00611C03"/>
    <w:rsid w:val="00612C8A"/>
    <w:rsid w:val="00613C47"/>
    <w:rsid w:val="0061425A"/>
    <w:rsid w:val="00614BE6"/>
    <w:rsid w:val="006150DF"/>
    <w:rsid w:val="006154F5"/>
    <w:rsid w:val="00616FFA"/>
    <w:rsid w:val="00623AD7"/>
    <w:rsid w:val="00632E51"/>
    <w:rsid w:val="00635446"/>
    <w:rsid w:val="00643573"/>
    <w:rsid w:val="00645CB2"/>
    <w:rsid w:val="00646E0C"/>
    <w:rsid w:val="00646E73"/>
    <w:rsid w:val="006474F2"/>
    <w:rsid w:val="00647ACB"/>
    <w:rsid w:val="00650E48"/>
    <w:rsid w:val="006514C7"/>
    <w:rsid w:val="006517EE"/>
    <w:rsid w:val="00654A78"/>
    <w:rsid w:val="0065664C"/>
    <w:rsid w:val="0065736E"/>
    <w:rsid w:val="00661F8C"/>
    <w:rsid w:val="00663BFD"/>
    <w:rsid w:val="00671D9C"/>
    <w:rsid w:val="00680794"/>
    <w:rsid w:val="00682578"/>
    <w:rsid w:val="006828C3"/>
    <w:rsid w:val="00682E3E"/>
    <w:rsid w:val="006830F4"/>
    <w:rsid w:val="00683EC6"/>
    <w:rsid w:val="00685340"/>
    <w:rsid w:val="0068675E"/>
    <w:rsid w:val="00690212"/>
    <w:rsid w:val="00691C7D"/>
    <w:rsid w:val="00696B02"/>
    <w:rsid w:val="00697500"/>
    <w:rsid w:val="006A0CCB"/>
    <w:rsid w:val="006A4D0C"/>
    <w:rsid w:val="006B2914"/>
    <w:rsid w:val="006B334E"/>
    <w:rsid w:val="006B4B2F"/>
    <w:rsid w:val="006B6C1B"/>
    <w:rsid w:val="006C119E"/>
    <w:rsid w:val="006C47D7"/>
    <w:rsid w:val="006D59E8"/>
    <w:rsid w:val="006E1559"/>
    <w:rsid w:val="006E2601"/>
    <w:rsid w:val="006E40DA"/>
    <w:rsid w:val="006E4D46"/>
    <w:rsid w:val="006F320D"/>
    <w:rsid w:val="006F6B12"/>
    <w:rsid w:val="00701A32"/>
    <w:rsid w:val="00703E8F"/>
    <w:rsid w:val="00707992"/>
    <w:rsid w:val="00710F1E"/>
    <w:rsid w:val="00712B91"/>
    <w:rsid w:val="007154DB"/>
    <w:rsid w:val="00715B56"/>
    <w:rsid w:val="00723913"/>
    <w:rsid w:val="007330BB"/>
    <w:rsid w:val="00736483"/>
    <w:rsid w:val="00740FFF"/>
    <w:rsid w:val="007462C2"/>
    <w:rsid w:val="0075025E"/>
    <w:rsid w:val="00750358"/>
    <w:rsid w:val="00750D9D"/>
    <w:rsid w:val="00753980"/>
    <w:rsid w:val="007575EA"/>
    <w:rsid w:val="0078173F"/>
    <w:rsid w:val="00783463"/>
    <w:rsid w:val="00783468"/>
    <w:rsid w:val="007837DB"/>
    <w:rsid w:val="00787995"/>
    <w:rsid w:val="00790A46"/>
    <w:rsid w:val="00791C19"/>
    <w:rsid w:val="0079431D"/>
    <w:rsid w:val="00796A8F"/>
    <w:rsid w:val="007A657A"/>
    <w:rsid w:val="007B4FFA"/>
    <w:rsid w:val="007B70CC"/>
    <w:rsid w:val="007B755E"/>
    <w:rsid w:val="007C403B"/>
    <w:rsid w:val="007D4859"/>
    <w:rsid w:val="007D4CF1"/>
    <w:rsid w:val="007D6F8D"/>
    <w:rsid w:val="007D7C95"/>
    <w:rsid w:val="007E06B5"/>
    <w:rsid w:val="007E45BF"/>
    <w:rsid w:val="007F4DF0"/>
    <w:rsid w:val="007F6D28"/>
    <w:rsid w:val="00803679"/>
    <w:rsid w:val="00803C30"/>
    <w:rsid w:val="00803FD5"/>
    <w:rsid w:val="00812E7C"/>
    <w:rsid w:val="00814DFC"/>
    <w:rsid w:val="008151C6"/>
    <w:rsid w:val="00823FCF"/>
    <w:rsid w:val="00830AF6"/>
    <w:rsid w:val="00830D06"/>
    <w:rsid w:val="00831FF2"/>
    <w:rsid w:val="00834458"/>
    <w:rsid w:val="008345FF"/>
    <w:rsid w:val="0083668C"/>
    <w:rsid w:val="0084116A"/>
    <w:rsid w:val="00847649"/>
    <w:rsid w:val="00847AD7"/>
    <w:rsid w:val="00856DB0"/>
    <w:rsid w:val="00857243"/>
    <w:rsid w:val="00866C37"/>
    <w:rsid w:val="0087009E"/>
    <w:rsid w:val="00870261"/>
    <w:rsid w:val="0088566D"/>
    <w:rsid w:val="00896874"/>
    <w:rsid w:val="008A20C0"/>
    <w:rsid w:val="008A39F5"/>
    <w:rsid w:val="008B072E"/>
    <w:rsid w:val="008B2F11"/>
    <w:rsid w:val="008B32D3"/>
    <w:rsid w:val="008B37D6"/>
    <w:rsid w:val="008B62BB"/>
    <w:rsid w:val="008B6D15"/>
    <w:rsid w:val="008B781C"/>
    <w:rsid w:val="008C0939"/>
    <w:rsid w:val="008C31BE"/>
    <w:rsid w:val="008D13B6"/>
    <w:rsid w:val="008D2AA3"/>
    <w:rsid w:val="008D2EBD"/>
    <w:rsid w:val="008D5930"/>
    <w:rsid w:val="008D6F14"/>
    <w:rsid w:val="008D77E5"/>
    <w:rsid w:val="008E3EB8"/>
    <w:rsid w:val="008E5230"/>
    <w:rsid w:val="008E618C"/>
    <w:rsid w:val="00900E6C"/>
    <w:rsid w:val="00901100"/>
    <w:rsid w:val="00903E80"/>
    <w:rsid w:val="009041E3"/>
    <w:rsid w:val="00907AF6"/>
    <w:rsid w:val="00907BBA"/>
    <w:rsid w:val="00910FF1"/>
    <w:rsid w:val="0091565D"/>
    <w:rsid w:val="00917DF9"/>
    <w:rsid w:val="00921296"/>
    <w:rsid w:val="00922DAB"/>
    <w:rsid w:val="00924EEB"/>
    <w:rsid w:val="00924F66"/>
    <w:rsid w:val="00932043"/>
    <w:rsid w:val="00940893"/>
    <w:rsid w:val="0094274B"/>
    <w:rsid w:val="009532DE"/>
    <w:rsid w:val="00954DE6"/>
    <w:rsid w:val="00955DCF"/>
    <w:rsid w:val="00960B3B"/>
    <w:rsid w:val="00961C98"/>
    <w:rsid w:val="009622E0"/>
    <w:rsid w:val="00970F2F"/>
    <w:rsid w:val="0097583D"/>
    <w:rsid w:val="00976758"/>
    <w:rsid w:val="00977A72"/>
    <w:rsid w:val="009818F6"/>
    <w:rsid w:val="00987490"/>
    <w:rsid w:val="009908CD"/>
    <w:rsid w:val="00991A29"/>
    <w:rsid w:val="009959A6"/>
    <w:rsid w:val="0099612B"/>
    <w:rsid w:val="00997B8E"/>
    <w:rsid w:val="009A3826"/>
    <w:rsid w:val="009A5CF2"/>
    <w:rsid w:val="009A7B93"/>
    <w:rsid w:val="009B07DE"/>
    <w:rsid w:val="009B0CCB"/>
    <w:rsid w:val="009B1575"/>
    <w:rsid w:val="009B224D"/>
    <w:rsid w:val="009B269E"/>
    <w:rsid w:val="009B42C6"/>
    <w:rsid w:val="009B44EA"/>
    <w:rsid w:val="009C2803"/>
    <w:rsid w:val="009C512C"/>
    <w:rsid w:val="009C72D3"/>
    <w:rsid w:val="009C7DA1"/>
    <w:rsid w:val="009D0764"/>
    <w:rsid w:val="009D4789"/>
    <w:rsid w:val="009E0682"/>
    <w:rsid w:val="009E2C3E"/>
    <w:rsid w:val="009E5255"/>
    <w:rsid w:val="009E7F5E"/>
    <w:rsid w:val="009F0915"/>
    <w:rsid w:val="009F1082"/>
    <w:rsid w:val="009F15AF"/>
    <w:rsid w:val="009F27DC"/>
    <w:rsid w:val="009F4BC5"/>
    <w:rsid w:val="00A0021E"/>
    <w:rsid w:val="00A053E6"/>
    <w:rsid w:val="00A055E8"/>
    <w:rsid w:val="00A05CF7"/>
    <w:rsid w:val="00A068D5"/>
    <w:rsid w:val="00A112A2"/>
    <w:rsid w:val="00A12E94"/>
    <w:rsid w:val="00A15053"/>
    <w:rsid w:val="00A1662A"/>
    <w:rsid w:val="00A206B8"/>
    <w:rsid w:val="00A20A27"/>
    <w:rsid w:val="00A2724F"/>
    <w:rsid w:val="00A34DAA"/>
    <w:rsid w:val="00A40FF7"/>
    <w:rsid w:val="00A60A7A"/>
    <w:rsid w:val="00A60A9A"/>
    <w:rsid w:val="00A61BC0"/>
    <w:rsid w:val="00A633F5"/>
    <w:rsid w:val="00A70C5E"/>
    <w:rsid w:val="00A73CD0"/>
    <w:rsid w:val="00A93B68"/>
    <w:rsid w:val="00A97314"/>
    <w:rsid w:val="00A9749D"/>
    <w:rsid w:val="00AA4D0B"/>
    <w:rsid w:val="00AA5DA9"/>
    <w:rsid w:val="00AA6E76"/>
    <w:rsid w:val="00AB0076"/>
    <w:rsid w:val="00AB2B01"/>
    <w:rsid w:val="00AB37BF"/>
    <w:rsid w:val="00AC146C"/>
    <w:rsid w:val="00AC2329"/>
    <w:rsid w:val="00AC236E"/>
    <w:rsid w:val="00AD01D3"/>
    <w:rsid w:val="00AD13B5"/>
    <w:rsid w:val="00AD380B"/>
    <w:rsid w:val="00AD431E"/>
    <w:rsid w:val="00AD57D6"/>
    <w:rsid w:val="00AE3345"/>
    <w:rsid w:val="00AE6674"/>
    <w:rsid w:val="00AE6677"/>
    <w:rsid w:val="00AF2CE3"/>
    <w:rsid w:val="00B05F3F"/>
    <w:rsid w:val="00B077BF"/>
    <w:rsid w:val="00B11416"/>
    <w:rsid w:val="00B15731"/>
    <w:rsid w:val="00B2245D"/>
    <w:rsid w:val="00B2369F"/>
    <w:rsid w:val="00B244ED"/>
    <w:rsid w:val="00B256DD"/>
    <w:rsid w:val="00B2650D"/>
    <w:rsid w:val="00B31D1B"/>
    <w:rsid w:val="00B33975"/>
    <w:rsid w:val="00B37C67"/>
    <w:rsid w:val="00B411CE"/>
    <w:rsid w:val="00B4321C"/>
    <w:rsid w:val="00B44240"/>
    <w:rsid w:val="00B4465F"/>
    <w:rsid w:val="00B45BEC"/>
    <w:rsid w:val="00B51A3F"/>
    <w:rsid w:val="00B616AB"/>
    <w:rsid w:val="00B62490"/>
    <w:rsid w:val="00B62F8B"/>
    <w:rsid w:val="00B64C31"/>
    <w:rsid w:val="00B65E0F"/>
    <w:rsid w:val="00B7132D"/>
    <w:rsid w:val="00B7340B"/>
    <w:rsid w:val="00B737E3"/>
    <w:rsid w:val="00B73F34"/>
    <w:rsid w:val="00B745F4"/>
    <w:rsid w:val="00B74B8E"/>
    <w:rsid w:val="00B84904"/>
    <w:rsid w:val="00B90904"/>
    <w:rsid w:val="00B93DB4"/>
    <w:rsid w:val="00B94772"/>
    <w:rsid w:val="00BA2617"/>
    <w:rsid w:val="00BB0FDD"/>
    <w:rsid w:val="00BB156E"/>
    <w:rsid w:val="00BB24F3"/>
    <w:rsid w:val="00BB307D"/>
    <w:rsid w:val="00BC3A6D"/>
    <w:rsid w:val="00BC3B39"/>
    <w:rsid w:val="00BC5A67"/>
    <w:rsid w:val="00BC6BD9"/>
    <w:rsid w:val="00BC7DD3"/>
    <w:rsid w:val="00BD15ED"/>
    <w:rsid w:val="00BD1D4A"/>
    <w:rsid w:val="00BD453A"/>
    <w:rsid w:val="00BE038F"/>
    <w:rsid w:val="00BE13BE"/>
    <w:rsid w:val="00BF3D59"/>
    <w:rsid w:val="00BF5362"/>
    <w:rsid w:val="00BF64DE"/>
    <w:rsid w:val="00C02171"/>
    <w:rsid w:val="00C02F95"/>
    <w:rsid w:val="00C0450C"/>
    <w:rsid w:val="00C13980"/>
    <w:rsid w:val="00C144D7"/>
    <w:rsid w:val="00C151AA"/>
    <w:rsid w:val="00C21729"/>
    <w:rsid w:val="00C24272"/>
    <w:rsid w:val="00C25BCA"/>
    <w:rsid w:val="00C265D9"/>
    <w:rsid w:val="00C26C1C"/>
    <w:rsid w:val="00C26D35"/>
    <w:rsid w:val="00C277FC"/>
    <w:rsid w:val="00C30B5C"/>
    <w:rsid w:val="00C32633"/>
    <w:rsid w:val="00C32D31"/>
    <w:rsid w:val="00C46DA2"/>
    <w:rsid w:val="00C470C2"/>
    <w:rsid w:val="00C50480"/>
    <w:rsid w:val="00C634DE"/>
    <w:rsid w:val="00C6519C"/>
    <w:rsid w:val="00C6681E"/>
    <w:rsid w:val="00C71682"/>
    <w:rsid w:val="00C75F6E"/>
    <w:rsid w:val="00C77B2B"/>
    <w:rsid w:val="00C82F37"/>
    <w:rsid w:val="00C85278"/>
    <w:rsid w:val="00C85AC1"/>
    <w:rsid w:val="00C91B4E"/>
    <w:rsid w:val="00C94BF3"/>
    <w:rsid w:val="00CA063D"/>
    <w:rsid w:val="00CA0661"/>
    <w:rsid w:val="00CA0C75"/>
    <w:rsid w:val="00CA216D"/>
    <w:rsid w:val="00CA53DB"/>
    <w:rsid w:val="00CA624E"/>
    <w:rsid w:val="00CB0120"/>
    <w:rsid w:val="00CB0301"/>
    <w:rsid w:val="00CB26BD"/>
    <w:rsid w:val="00CB5AC8"/>
    <w:rsid w:val="00CB7333"/>
    <w:rsid w:val="00CC443A"/>
    <w:rsid w:val="00CC7BDE"/>
    <w:rsid w:val="00CD0627"/>
    <w:rsid w:val="00CD1EFF"/>
    <w:rsid w:val="00CD4345"/>
    <w:rsid w:val="00CF3B36"/>
    <w:rsid w:val="00CF3C8E"/>
    <w:rsid w:val="00CF5EF7"/>
    <w:rsid w:val="00CF6033"/>
    <w:rsid w:val="00D0036B"/>
    <w:rsid w:val="00D01A85"/>
    <w:rsid w:val="00D0297D"/>
    <w:rsid w:val="00D03364"/>
    <w:rsid w:val="00D03421"/>
    <w:rsid w:val="00D05AC4"/>
    <w:rsid w:val="00D10E55"/>
    <w:rsid w:val="00D11581"/>
    <w:rsid w:val="00D16510"/>
    <w:rsid w:val="00D17968"/>
    <w:rsid w:val="00D21FA5"/>
    <w:rsid w:val="00D22F35"/>
    <w:rsid w:val="00D239B8"/>
    <w:rsid w:val="00D25CAD"/>
    <w:rsid w:val="00D31294"/>
    <w:rsid w:val="00D35240"/>
    <w:rsid w:val="00D35F35"/>
    <w:rsid w:val="00D401A4"/>
    <w:rsid w:val="00D44306"/>
    <w:rsid w:val="00D46544"/>
    <w:rsid w:val="00D468A9"/>
    <w:rsid w:val="00D56CDB"/>
    <w:rsid w:val="00D61BBF"/>
    <w:rsid w:val="00D61C17"/>
    <w:rsid w:val="00D661A9"/>
    <w:rsid w:val="00D717C3"/>
    <w:rsid w:val="00D727CB"/>
    <w:rsid w:val="00D734D8"/>
    <w:rsid w:val="00D8139F"/>
    <w:rsid w:val="00D84F51"/>
    <w:rsid w:val="00D90A48"/>
    <w:rsid w:val="00D95549"/>
    <w:rsid w:val="00D9592C"/>
    <w:rsid w:val="00DA13DC"/>
    <w:rsid w:val="00DA3072"/>
    <w:rsid w:val="00DA3D91"/>
    <w:rsid w:val="00DA65F4"/>
    <w:rsid w:val="00DB070D"/>
    <w:rsid w:val="00DB4AED"/>
    <w:rsid w:val="00DB7615"/>
    <w:rsid w:val="00DC3C18"/>
    <w:rsid w:val="00DC4664"/>
    <w:rsid w:val="00DD4EC9"/>
    <w:rsid w:val="00DD5BD3"/>
    <w:rsid w:val="00DD7CFD"/>
    <w:rsid w:val="00DE14E5"/>
    <w:rsid w:val="00DE16DC"/>
    <w:rsid w:val="00DE5143"/>
    <w:rsid w:val="00DF3444"/>
    <w:rsid w:val="00DF36AC"/>
    <w:rsid w:val="00DF7ACC"/>
    <w:rsid w:val="00E00C3E"/>
    <w:rsid w:val="00E03912"/>
    <w:rsid w:val="00E0420B"/>
    <w:rsid w:val="00E10E12"/>
    <w:rsid w:val="00E12933"/>
    <w:rsid w:val="00E13A5E"/>
    <w:rsid w:val="00E15797"/>
    <w:rsid w:val="00E2042A"/>
    <w:rsid w:val="00E212FD"/>
    <w:rsid w:val="00E23D2F"/>
    <w:rsid w:val="00E33727"/>
    <w:rsid w:val="00E37101"/>
    <w:rsid w:val="00E378D8"/>
    <w:rsid w:val="00E41B0A"/>
    <w:rsid w:val="00E43AC7"/>
    <w:rsid w:val="00E4645D"/>
    <w:rsid w:val="00E46966"/>
    <w:rsid w:val="00E47037"/>
    <w:rsid w:val="00E505AF"/>
    <w:rsid w:val="00E50A35"/>
    <w:rsid w:val="00E5204B"/>
    <w:rsid w:val="00E55BE7"/>
    <w:rsid w:val="00E56106"/>
    <w:rsid w:val="00E666A7"/>
    <w:rsid w:val="00E67C4E"/>
    <w:rsid w:val="00E70299"/>
    <w:rsid w:val="00E70462"/>
    <w:rsid w:val="00E716EE"/>
    <w:rsid w:val="00E769F0"/>
    <w:rsid w:val="00E81F20"/>
    <w:rsid w:val="00E859F6"/>
    <w:rsid w:val="00E8692E"/>
    <w:rsid w:val="00EA4026"/>
    <w:rsid w:val="00EA4E55"/>
    <w:rsid w:val="00EB10A0"/>
    <w:rsid w:val="00EB4E08"/>
    <w:rsid w:val="00EB78CD"/>
    <w:rsid w:val="00EC0665"/>
    <w:rsid w:val="00EC0ECC"/>
    <w:rsid w:val="00EC16ED"/>
    <w:rsid w:val="00EC25BA"/>
    <w:rsid w:val="00EC59A2"/>
    <w:rsid w:val="00ED18C9"/>
    <w:rsid w:val="00ED3CA1"/>
    <w:rsid w:val="00ED58C6"/>
    <w:rsid w:val="00ED64D1"/>
    <w:rsid w:val="00EE20A6"/>
    <w:rsid w:val="00EE2813"/>
    <w:rsid w:val="00EE584A"/>
    <w:rsid w:val="00EF0671"/>
    <w:rsid w:val="00EF0DF3"/>
    <w:rsid w:val="00EF65B0"/>
    <w:rsid w:val="00EF78CD"/>
    <w:rsid w:val="00F0165F"/>
    <w:rsid w:val="00F037F8"/>
    <w:rsid w:val="00F0588D"/>
    <w:rsid w:val="00F1489E"/>
    <w:rsid w:val="00F22049"/>
    <w:rsid w:val="00F24DF0"/>
    <w:rsid w:val="00F265FD"/>
    <w:rsid w:val="00F2692E"/>
    <w:rsid w:val="00F279E1"/>
    <w:rsid w:val="00F36C6B"/>
    <w:rsid w:val="00F36FC9"/>
    <w:rsid w:val="00F37083"/>
    <w:rsid w:val="00F37C8B"/>
    <w:rsid w:val="00F44F3B"/>
    <w:rsid w:val="00F47BF3"/>
    <w:rsid w:val="00F507F0"/>
    <w:rsid w:val="00F52365"/>
    <w:rsid w:val="00F52F69"/>
    <w:rsid w:val="00F55B4D"/>
    <w:rsid w:val="00F717D1"/>
    <w:rsid w:val="00F71A6F"/>
    <w:rsid w:val="00F74F6B"/>
    <w:rsid w:val="00F7646A"/>
    <w:rsid w:val="00F774E4"/>
    <w:rsid w:val="00F828CC"/>
    <w:rsid w:val="00F83A83"/>
    <w:rsid w:val="00F8641F"/>
    <w:rsid w:val="00F91298"/>
    <w:rsid w:val="00F92651"/>
    <w:rsid w:val="00FA1057"/>
    <w:rsid w:val="00FA381F"/>
    <w:rsid w:val="00FA62F4"/>
    <w:rsid w:val="00FA7E9A"/>
    <w:rsid w:val="00FB2493"/>
    <w:rsid w:val="00FC058B"/>
    <w:rsid w:val="00FC194A"/>
    <w:rsid w:val="00FC1AA2"/>
    <w:rsid w:val="00FC397F"/>
    <w:rsid w:val="00FD7772"/>
    <w:rsid w:val="00FE3345"/>
    <w:rsid w:val="00FF2DDD"/>
    <w:rsid w:val="00FF3E55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CAC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C6B"/>
  </w:style>
  <w:style w:type="paragraph" w:styleId="Heading1">
    <w:name w:val="heading 1"/>
    <w:basedOn w:val="Normal"/>
    <w:next w:val="Normal"/>
    <w:link w:val="Heading1Char"/>
    <w:uiPriority w:val="9"/>
    <w:qFormat/>
    <w:rsid w:val="00FC1AA2"/>
    <w:pPr>
      <w:keepNext/>
      <w:keepLines/>
      <w:spacing w:before="320" w:after="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C6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C6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C6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C6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C6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C6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C6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C6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0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474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4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70C2"/>
  </w:style>
  <w:style w:type="paragraph" w:styleId="FootnoteText">
    <w:name w:val="footnote text"/>
    <w:basedOn w:val="Normal"/>
    <w:semiHidden/>
    <w:rsid w:val="009B0CCB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1AA2"/>
    <w:rPr>
      <w:rFonts w:eastAsiaTheme="majorEastAsia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C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C6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C6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C6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C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C6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C6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C6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6C6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6C6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36C6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C6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6C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36C6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36C6B"/>
    <w:rPr>
      <w:i/>
      <w:iCs/>
      <w:color w:val="auto"/>
    </w:rPr>
  </w:style>
  <w:style w:type="paragraph" w:styleId="NoSpacing">
    <w:name w:val="No Spacing"/>
    <w:uiPriority w:val="1"/>
    <w:qFormat/>
    <w:rsid w:val="009E2C3E"/>
    <w:pPr>
      <w:spacing w:after="0" w:line="240" w:lineRule="auto"/>
    </w:pPr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36C6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6C6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C6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C6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36C6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36C6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36C6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6C6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F36C6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C6B"/>
    <w:pPr>
      <w:outlineLvl w:val="9"/>
    </w:pPr>
  </w:style>
  <w:style w:type="character" w:styleId="FootnoteReference">
    <w:name w:val="footnote reference"/>
    <w:basedOn w:val="DefaultParagraphFont"/>
    <w:uiPriority w:val="99"/>
    <w:unhideWhenUsed/>
    <w:rsid w:val="00FC1AA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7E06B5"/>
  </w:style>
  <w:style w:type="paragraph" w:styleId="BalloonText">
    <w:name w:val="Balloon Text"/>
    <w:basedOn w:val="Normal"/>
    <w:link w:val="BalloonTextChar"/>
    <w:rsid w:val="002B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A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9B0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7DE"/>
    <w:pPr>
      <w:spacing w:after="0" w:line="240" w:lineRule="auto"/>
      <w:jc w:val="left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7DE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4274B"/>
    <w:pPr>
      <w:spacing w:after="160"/>
      <w:jc w:val="both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274B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2FB0"/>
    <w:pPr>
      <w:spacing w:after="0" w:line="240" w:lineRule="auto"/>
      <w:jc w:val="left"/>
    </w:pPr>
  </w:style>
  <w:style w:type="paragraph" w:styleId="EndnoteText">
    <w:name w:val="endnote text"/>
    <w:basedOn w:val="Normal"/>
    <w:link w:val="EndnoteTextChar"/>
    <w:rsid w:val="00150F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50FCE"/>
    <w:rPr>
      <w:sz w:val="20"/>
      <w:szCs w:val="20"/>
    </w:rPr>
  </w:style>
  <w:style w:type="character" w:styleId="EndnoteReference">
    <w:name w:val="endnote reference"/>
    <w:basedOn w:val="DefaultParagraphFont"/>
    <w:rsid w:val="00150FCE"/>
    <w:rPr>
      <w:vertAlign w:val="superscript"/>
    </w:rPr>
  </w:style>
  <w:style w:type="character" w:styleId="FollowedHyperlink">
    <w:name w:val="FollowedHyperlink"/>
    <w:basedOn w:val="DefaultParagraphFont"/>
    <w:rsid w:val="00CA06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cleanenergy.com/files/file/Library/O41609%20PresntatnNeep.ppt" TargetMode="External"/><Relationship Id="rId13" Type="http://schemas.openxmlformats.org/officeDocument/2006/relationships/hyperlink" Target="http://www.pjm.com/documents/reports.asp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jm.com/~/media/documents/manuals/m19.ash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e.nj.us/emp/docs/pdf/041609NEEP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tate.nj.us/emp/docs/pdf/2011_Final_Energy_%20Master_Plan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tate.nj.us/emp/docs/pdf/081022_emp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936B-6D05-48B6-AAF6-FB8EB240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2015-07-16T01:42:00Z</dcterms:created>
  <dcterms:modified xsi:type="dcterms:W3CDTF">2015-08-11T03:27:00Z</dcterms:modified>
</cp:coreProperties>
</file>