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4F4C5" w14:textId="77777777" w:rsidR="00D31294" w:rsidRPr="00F037F8" w:rsidRDefault="00D31294" w:rsidP="000516E4">
      <w:pPr>
        <w:pStyle w:val="Heading1"/>
        <w:spacing w:before="0" w:after="0"/>
        <w:rPr>
          <w:rFonts w:ascii="Arial Black" w:hAnsi="Arial Black"/>
        </w:rPr>
      </w:pPr>
      <w:r w:rsidRPr="00F037F8">
        <w:rPr>
          <w:rFonts w:ascii="Arial Black" w:hAnsi="Arial Black"/>
        </w:rPr>
        <w:t>core metrics</w:t>
      </w:r>
    </w:p>
    <w:p w14:paraId="366F2280" w14:textId="77777777" w:rsidR="00D31294" w:rsidRDefault="00D31294" w:rsidP="00F36C6B">
      <w:pPr>
        <w:pBdr>
          <w:bottom w:val="single" w:sz="6" w:space="1" w:color="auto"/>
        </w:pBdr>
        <w:spacing w:after="0"/>
        <w:rPr>
          <w:b/>
          <w:sz w:val="8"/>
        </w:rPr>
      </w:pPr>
    </w:p>
    <w:p w14:paraId="608B68EE" w14:textId="77777777" w:rsidR="00D31294" w:rsidRPr="00F36C6B" w:rsidRDefault="00D31294" w:rsidP="00A20A27">
      <w:pPr>
        <w:tabs>
          <w:tab w:val="right" w:pos="8640"/>
        </w:tabs>
        <w:rPr>
          <w:sz w:val="24"/>
          <w:szCs w:val="24"/>
        </w:rPr>
      </w:pPr>
      <w:r w:rsidRPr="00F36C6B">
        <w:rPr>
          <w:sz w:val="24"/>
          <w:szCs w:val="24"/>
        </w:rPr>
        <w:t>235 Van Winkle St., East Rutherford, NJ  07073</w:t>
      </w:r>
      <w:r w:rsidRPr="00F36C6B">
        <w:rPr>
          <w:sz w:val="24"/>
          <w:szCs w:val="24"/>
        </w:rPr>
        <w:tab/>
        <w:t>(201) 340-4541</w:t>
      </w:r>
    </w:p>
    <w:p w14:paraId="5F4569E5" w14:textId="0A67A227" w:rsidR="00D31294" w:rsidRPr="00F36C6B" w:rsidRDefault="00FE34B4" w:rsidP="00F36C6B">
      <w:pPr>
        <w:tabs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>August 24, 2015</w:t>
      </w:r>
      <w:r w:rsidR="00D31294" w:rsidRPr="00F36C6B">
        <w:rPr>
          <w:sz w:val="24"/>
          <w:szCs w:val="24"/>
        </w:rPr>
        <w:tab/>
      </w:r>
    </w:p>
    <w:p w14:paraId="04FC6491" w14:textId="3D4E3EAF" w:rsidR="00D31294" w:rsidRDefault="00FE34B4" w:rsidP="009E2C3E">
      <w:pPr>
        <w:pStyle w:val="NoSpacing"/>
      </w:pPr>
      <w:r>
        <w:t>New Jersey Energy Master Plan</w:t>
      </w:r>
    </w:p>
    <w:p w14:paraId="44C46472" w14:textId="6BA61C94" w:rsidR="00FE34B4" w:rsidRDefault="00FE34B4" w:rsidP="009E2C3E">
      <w:pPr>
        <w:pStyle w:val="NoSpacing"/>
      </w:pPr>
      <w:r>
        <w:t>c/o Board of Public Utilities</w:t>
      </w:r>
    </w:p>
    <w:p w14:paraId="7DC78E2C" w14:textId="5EA33780" w:rsidR="00FE34B4" w:rsidRDefault="00FE34B4" w:rsidP="009E2C3E">
      <w:pPr>
        <w:pStyle w:val="NoSpacing"/>
      </w:pPr>
      <w:r>
        <w:t>P.O. Box 350</w:t>
      </w:r>
    </w:p>
    <w:p w14:paraId="30A14898" w14:textId="16360A11" w:rsidR="00D31294" w:rsidRDefault="00FE34B4" w:rsidP="009E2C3E">
      <w:pPr>
        <w:pStyle w:val="NoSpacing"/>
      </w:pPr>
      <w:r>
        <w:rPr>
          <w:noProof/>
        </w:rPr>
        <w:t>Trenton, NJ 08625  (delivered by e-mail)</w:t>
      </w:r>
    </w:p>
    <w:p w14:paraId="366AB700" w14:textId="77777777" w:rsidR="00D31294" w:rsidRDefault="00D31294" w:rsidP="009E2C3E">
      <w:pPr>
        <w:pStyle w:val="NoSpacing"/>
      </w:pPr>
    </w:p>
    <w:p w14:paraId="322CDCA2" w14:textId="69F6FF79" w:rsidR="00FE34B4" w:rsidRDefault="00A723C3" w:rsidP="009E2C3E">
      <w:pPr>
        <w:pStyle w:val="NoSpacing"/>
      </w:pPr>
      <w:r>
        <w:t>RE: F</w:t>
      </w:r>
      <w:r w:rsidR="00FE34B4">
        <w:t>orecasting’s essential role</w:t>
      </w:r>
      <w:r w:rsidR="00553797">
        <w:t xml:space="preserve"> in planning and</w:t>
      </w:r>
      <w:r w:rsidR="00FE34B4">
        <w:t xml:space="preserve"> meeting </w:t>
      </w:r>
      <w:r w:rsidR="00553797">
        <w:t xml:space="preserve">long-term </w:t>
      </w:r>
      <w:r w:rsidR="004E6E34">
        <w:t>goals</w:t>
      </w:r>
      <w:r w:rsidR="00553797">
        <w:t xml:space="preserve"> </w:t>
      </w:r>
    </w:p>
    <w:p w14:paraId="7E18FE00" w14:textId="77777777" w:rsidR="00FE34B4" w:rsidRPr="005A6CB1" w:rsidRDefault="00FE34B4" w:rsidP="009E2C3E">
      <w:pPr>
        <w:pStyle w:val="NoSpacing"/>
      </w:pPr>
    </w:p>
    <w:p w14:paraId="36FB554A" w14:textId="4CBA1D5A" w:rsidR="00D31294" w:rsidRPr="00FC1AA2" w:rsidRDefault="00D31294" w:rsidP="00FC1AA2">
      <w:pPr>
        <w:pStyle w:val="NoSpacing"/>
      </w:pPr>
      <w:r w:rsidRPr="00FC1AA2">
        <w:t>Dear</w:t>
      </w:r>
      <w:r>
        <w:t xml:space="preserve"> </w:t>
      </w:r>
      <w:r w:rsidR="00553797">
        <w:rPr>
          <w:noProof/>
        </w:rPr>
        <w:t>Commissioners and Staff:</w:t>
      </w:r>
    </w:p>
    <w:p w14:paraId="6303CD00" w14:textId="77777777" w:rsidR="00D31294" w:rsidRPr="00FC1AA2" w:rsidRDefault="00D31294" w:rsidP="00FC1AA2">
      <w:pPr>
        <w:pStyle w:val="NoSpacing"/>
      </w:pPr>
    </w:p>
    <w:p w14:paraId="5F22F901" w14:textId="2D93AF47" w:rsidR="00D31294" w:rsidRDefault="00553797" w:rsidP="009D4789">
      <w:pPr>
        <w:pStyle w:val="NoSpacing"/>
      </w:pPr>
      <w:r>
        <w:t xml:space="preserve">This letter is a supplement to my prepared statement of August 11, delivered at the EMP hearing in Newark. </w:t>
      </w:r>
      <w:r w:rsidR="002E03A2">
        <w:t xml:space="preserve">At the hearing, I spoke about how the 2011 Energy Master Plan misused PJM’s net energy forecast in three </w:t>
      </w:r>
      <w:r w:rsidR="007D23AC">
        <w:t xml:space="preserve">ways – to </w:t>
      </w:r>
      <w:r w:rsidR="00353CB7">
        <w:t>make changes to</w:t>
      </w:r>
      <w:r w:rsidR="007D23AC">
        <w:t xml:space="preserve"> </w:t>
      </w:r>
      <w:r w:rsidR="004D57EC">
        <w:t xml:space="preserve">the state’s energy savings goal, to </w:t>
      </w:r>
      <w:r w:rsidR="0051067F">
        <w:t>exaggerate</w:t>
      </w:r>
      <w:r w:rsidR="004D57EC">
        <w:t xml:space="preserve"> the aggressiveness of </w:t>
      </w:r>
      <w:r w:rsidR="00EC3EDF">
        <w:t xml:space="preserve">the </w:t>
      </w:r>
      <w:r w:rsidR="0044118B">
        <w:t>2011</w:t>
      </w:r>
      <w:r w:rsidR="004D57EC">
        <w:t xml:space="preserve"> goal, and </w:t>
      </w:r>
      <w:r w:rsidR="00CA192B">
        <w:t xml:space="preserve">to </w:t>
      </w:r>
      <w:r w:rsidR="00353CB7">
        <w:t>exclude</w:t>
      </w:r>
      <w:r w:rsidR="004D57EC">
        <w:t xml:space="preserve"> </w:t>
      </w:r>
      <w:r w:rsidR="00353CB7">
        <w:t>power</w:t>
      </w:r>
      <w:r w:rsidR="00EC3EDF">
        <w:t xml:space="preserve"> </w:t>
      </w:r>
      <w:r w:rsidR="00CA192B">
        <w:t>supplied</w:t>
      </w:r>
      <w:r w:rsidR="004D57EC">
        <w:t xml:space="preserve"> outside of PJM’s grid from </w:t>
      </w:r>
      <w:r w:rsidR="001B77E8">
        <w:t>data</w:t>
      </w:r>
      <w:r w:rsidR="00353CB7">
        <w:t xml:space="preserve"> on </w:t>
      </w:r>
      <w:r w:rsidR="004D57EC">
        <w:t xml:space="preserve">overall </w:t>
      </w:r>
      <w:r w:rsidR="000E1BCF">
        <w:t xml:space="preserve">electric </w:t>
      </w:r>
      <w:r w:rsidR="004D57EC">
        <w:t>loads</w:t>
      </w:r>
      <w:r w:rsidR="00EC3EDF">
        <w:t xml:space="preserve"> for the state</w:t>
      </w:r>
      <w:r w:rsidR="004D57EC">
        <w:t xml:space="preserve">. I have learned the problem </w:t>
      </w:r>
      <w:r w:rsidR="00EC3EDF">
        <w:t xml:space="preserve">of New Jersey’s misinterpreting forecasts is more widespread than I realized. I will return </w:t>
      </w:r>
      <w:r w:rsidR="00EB7463">
        <w:t xml:space="preserve">to </w:t>
      </w:r>
      <w:r w:rsidR="00CA192B">
        <w:t>this topic</w:t>
      </w:r>
      <w:r w:rsidR="00EC3EDF">
        <w:t xml:space="preserve"> </w:t>
      </w:r>
      <w:r w:rsidR="00CA192B">
        <w:t>in relation to</w:t>
      </w:r>
      <w:r w:rsidR="00EC3EDF">
        <w:t xml:space="preserve"> the Global Warming Response Act.</w:t>
      </w:r>
    </w:p>
    <w:p w14:paraId="71D41D9B" w14:textId="77777777" w:rsidR="00EC3EDF" w:rsidRDefault="00EC3EDF" w:rsidP="009D4789">
      <w:pPr>
        <w:pStyle w:val="NoSpacing"/>
      </w:pPr>
    </w:p>
    <w:p w14:paraId="7180BD24" w14:textId="163A9801" w:rsidR="00EC3EDF" w:rsidRDefault="00EC3EDF" w:rsidP="009D4789">
      <w:pPr>
        <w:pStyle w:val="NoSpacing"/>
      </w:pPr>
      <w:r>
        <w:t>Load forecasts and energy sector forecasts</w:t>
      </w:r>
      <w:r w:rsidR="00564102">
        <w:rPr>
          <w:rStyle w:val="FootnoteReference"/>
        </w:rPr>
        <w:footnoteReference w:id="1"/>
      </w:r>
      <w:r w:rsidR="00564102">
        <w:t xml:space="preserve"> </w:t>
      </w:r>
      <w:r>
        <w:t xml:space="preserve">are </w:t>
      </w:r>
      <w:r w:rsidR="00EE2441">
        <w:t xml:space="preserve">fundamental to defining and meeting New Jersey’s current and future energy needs. Forecasting is </w:t>
      </w:r>
      <w:r w:rsidR="0044118B">
        <w:t>a complex</w:t>
      </w:r>
      <w:r w:rsidR="00EE2441">
        <w:t xml:space="preserve"> </w:t>
      </w:r>
      <w:r w:rsidR="00353CB7">
        <w:t>process</w:t>
      </w:r>
      <w:r w:rsidR="00D754BA">
        <w:t xml:space="preserve">, and </w:t>
      </w:r>
      <w:r w:rsidR="00AE343B">
        <w:t>a model</w:t>
      </w:r>
      <w:r w:rsidR="00D754BA">
        <w:t xml:space="preserve"> that produce</w:t>
      </w:r>
      <w:r w:rsidR="00AE343B">
        <w:t>s</w:t>
      </w:r>
      <w:r w:rsidR="00D754BA">
        <w:t xml:space="preserve"> forecasts </w:t>
      </w:r>
      <w:r w:rsidR="0035750B">
        <w:t>cannot</w:t>
      </w:r>
      <w:r w:rsidR="00D754BA">
        <w:t xml:space="preserve"> be treated </w:t>
      </w:r>
      <w:r w:rsidR="000E1BCF">
        <w:t>like</w:t>
      </w:r>
      <w:r w:rsidR="00D754BA">
        <w:t xml:space="preserve"> a black box</w:t>
      </w:r>
      <w:r w:rsidR="0044118B">
        <w:t>. Understanding a forecasting model’s purpose and limitations are important</w:t>
      </w:r>
      <w:r w:rsidR="006C15E5">
        <w:t>.</w:t>
      </w:r>
      <w:r w:rsidR="00353CB7">
        <w:t xml:space="preserve"> I</w:t>
      </w:r>
      <w:r w:rsidR="00EE2441">
        <w:t>t appears the BPU latched onto PJM’s forecast</w:t>
      </w:r>
      <w:r w:rsidR="00D754BA">
        <w:t>s</w:t>
      </w:r>
      <w:r w:rsidR="00843B28">
        <w:t xml:space="preserve"> without adequately understanding the model’s documentation</w:t>
      </w:r>
      <w:r w:rsidR="006C15E5">
        <w:t xml:space="preserve"> and published studies on the limitations of PJM’s forecasts</w:t>
      </w:r>
      <w:r w:rsidR="0044118B">
        <w:rPr>
          <w:rStyle w:val="FootnoteReference"/>
        </w:rPr>
        <w:footnoteReference w:id="2"/>
      </w:r>
      <w:r w:rsidR="00843B28">
        <w:t xml:space="preserve">. PJM was explicit about the </w:t>
      </w:r>
      <w:r w:rsidR="00084F78">
        <w:t>purpose of their forecast</w:t>
      </w:r>
      <w:r w:rsidR="00353CB7">
        <w:t xml:space="preserve"> and the intended audience</w:t>
      </w:r>
      <w:r w:rsidR="00084F78">
        <w:t>.</w:t>
      </w:r>
      <w:r w:rsidR="0044118B">
        <w:t xml:space="preserve"> </w:t>
      </w:r>
      <w:r w:rsidR="00084F78">
        <w:t>W</w:t>
      </w:r>
      <w:r w:rsidR="006C15E5">
        <w:t xml:space="preserve">hen used appropriately, their forecast can </w:t>
      </w:r>
      <w:r w:rsidR="000E1BCF">
        <w:t xml:space="preserve">still </w:t>
      </w:r>
      <w:r w:rsidR="006C15E5">
        <w:t xml:space="preserve">be a </w:t>
      </w:r>
      <w:r w:rsidR="000E1BCF">
        <w:t xml:space="preserve">very </w:t>
      </w:r>
      <w:r w:rsidR="006C15E5">
        <w:t xml:space="preserve">useful tool for </w:t>
      </w:r>
      <w:r w:rsidR="00D754BA">
        <w:t xml:space="preserve">planners in </w:t>
      </w:r>
      <w:r w:rsidR="006C15E5">
        <w:t>New Jersey.</w:t>
      </w:r>
    </w:p>
    <w:p w14:paraId="584E0B56" w14:textId="77777777" w:rsidR="006C15E5" w:rsidRDefault="006C15E5" w:rsidP="009D4789">
      <w:pPr>
        <w:pStyle w:val="NoSpacing"/>
      </w:pPr>
    </w:p>
    <w:p w14:paraId="4515BBDB" w14:textId="348DFC17" w:rsidR="006C15E5" w:rsidRDefault="00F653F6" w:rsidP="009D4789">
      <w:pPr>
        <w:pStyle w:val="NoSpacing"/>
      </w:pPr>
      <w:r>
        <w:t>Load f</w:t>
      </w:r>
      <w:r w:rsidR="00D754BA">
        <w:t xml:space="preserve">orecasting </w:t>
      </w:r>
      <w:r w:rsidR="00353CB7">
        <w:t>in the presence of</w:t>
      </w:r>
      <w:r>
        <w:t xml:space="preserve"> energy efficiency </w:t>
      </w:r>
      <w:r w:rsidR="001B77E8">
        <w:t xml:space="preserve">(EE) </w:t>
      </w:r>
      <w:r>
        <w:t xml:space="preserve">programs is tricky, </w:t>
      </w:r>
      <w:r w:rsidR="005E3B88">
        <w:t>because</w:t>
      </w:r>
      <w:r>
        <w:t xml:space="preserve"> the programs meet the demand for energy by subtracting from loads rather than adding to new generation. </w:t>
      </w:r>
      <w:r w:rsidR="000E1BCF">
        <w:t>Planning</w:t>
      </w:r>
      <w:r>
        <w:t xml:space="preserve"> issues </w:t>
      </w:r>
      <w:r w:rsidR="00AE343B">
        <w:t>related to</w:t>
      </w:r>
      <w:r>
        <w:t xml:space="preserve"> developing forecasts that are consistent with energy efficiency </w:t>
      </w:r>
      <w:r w:rsidR="000E1BCF">
        <w:t>programs</w:t>
      </w:r>
      <w:r>
        <w:t xml:space="preserve"> are well known to </w:t>
      </w:r>
      <w:r w:rsidR="00A723C3">
        <w:t>forecasters</w:t>
      </w:r>
      <w:r>
        <w:t xml:space="preserve"> </w:t>
      </w:r>
      <w:r w:rsidR="001B77E8">
        <w:t>with</w:t>
      </w:r>
      <w:r w:rsidR="00AE343B">
        <w:t xml:space="preserve"> </w:t>
      </w:r>
      <w:r>
        <w:t>experience i</w:t>
      </w:r>
      <w:r w:rsidR="00A723C3">
        <w:t xml:space="preserve">n </w:t>
      </w:r>
      <w:r w:rsidR="001B77E8">
        <w:t>EE</w:t>
      </w:r>
      <w:r w:rsidR="00A723C3">
        <w:t xml:space="preserve">, so </w:t>
      </w:r>
      <w:r w:rsidR="00AE343B">
        <w:t xml:space="preserve">I have not </w:t>
      </w:r>
      <w:r w:rsidR="005E3B88">
        <w:t>cited</w:t>
      </w:r>
      <w:r w:rsidR="00A723C3">
        <w:t xml:space="preserve"> references </w:t>
      </w:r>
      <w:r w:rsidR="005E3B88">
        <w:t>here</w:t>
      </w:r>
      <w:r w:rsidR="00A723C3">
        <w:t>.</w:t>
      </w:r>
    </w:p>
    <w:p w14:paraId="7D98357A" w14:textId="77777777" w:rsidR="00A723C3" w:rsidRDefault="00A723C3" w:rsidP="009D4789">
      <w:pPr>
        <w:pStyle w:val="NoSpacing"/>
      </w:pPr>
    </w:p>
    <w:p w14:paraId="217763EE" w14:textId="170BA6CE" w:rsidR="00A723C3" w:rsidRDefault="00A723C3" w:rsidP="009D4789">
      <w:pPr>
        <w:pStyle w:val="NoSpacing"/>
      </w:pPr>
      <w:r>
        <w:lastRenderedPageBreak/>
        <w:t xml:space="preserve">However, I </w:t>
      </w:r>
      <w:r w:rsidR="00564102">
        <w:t>know</w:t>
      </w:r>
      <w:r>
        <w:t xml:space="preserve"> several Commissioners participate in NARUC, which </w:t>
      </w:r>
      <w:r w:rsidR="000E1BCF">
        <w:t>co-</w:t>
      </w:r>
      <w:r>
        <w:t xml:space="preserve">sponsored a recent </w:t>
      </w:r>
      <w:r w:rsidR="000E1BCF">
        <w:t xml:space="preserve">case study that may </w:t>
      </w:r>
      <w:r w:rsidR="0035750B">
        <w:t>help</w:t>
      </w:r>
      <w:r w:rsidR="00AE343B">
        <w:t xml:space="preserve"> in </w:t>
      </w:r>
      <w:r w:rsidR="005E3B88">
        <w:t xml:space="preserve">answering </w:t>
      </w:r>
      <w:r w:rsidR="00AE343B">
        <w:t>a whole host of forecasting issues</w:t>
      </w:r>
      <w:r w:rsidR="000E1BCF">
        <w:t>. NARUC’s co-sponsor was the Eastern Interconnection States Planning Council (EISPC) in a January 2015 report titled “Load Forecasting Case Study”</w:t>
      </w:r>
      <w:r w:rsidR="00AE343B">
        <w:t>, available on NARUC’s website</w:t>
      </w:r>
      <w:r w:rsidR="000E1BCF">
        <w:t>.</w:t>
      </w:r>
    </w:p>
    <w:p w14:paraId="3E21AF89" w14:textId="77777777" w:rsidR="00AE343B" w:rsidRDefault="00AE343B" w:rsidP="009D4789">
      <w:pPr>
        <w:pStyle w:val="NoSpacing"/>
      </w:pPr>
    </w:p>
    <w:p w14:paraId="2D57DD75" w14:textId="67B31E23" w:rsidR="00AE343B" w:rsidRDefault="00AE343B" w:rsidP="009D4789">
      <w:pPr>
        <w:pStyle w:val="NoSpacing"/>
      </w:pPr>
      <w:r>
        <w:t xml:space="preserve">Given </w:t>
      </w:r>
      <w:r w:rsidR="005E3B88">
        <w:t xml:space="preserve">what happened to </w:t>
      </w:r>
      <w:r w:rsidR="00084F78">
        <w:t>PJM</w:t>
      </w:r>
      <w:r w:rsidR="00564102">
        <w:t>’s</w:t>
      </w:r>
      <w:r w:rsidR="00084F78">
        <w:t xml:space="preserve"> </w:t>
      </w:r>
      <w:r w:rsidR="005E3B88">
        <w:t xml:space="preserve">forecasts in the 2011 EMP, and the fact that the BPU shares its analysis (forecasts) with other government agencies, university researchers, etc…, </w:t>
      </w:r>
      <w:r w:rsidR="0086725E">
        <w:t>it is</w:t>
      </w:r>
      <w:r w:rsidR="005E3B88">
        <w:t xml:space="preserve"> important that any new projections or claims about New Jersey’s future energy use or emissions be based on a credible forecasting process. </w:t>
      </w:r>
      <w:r w:rsidR="00084F78">
        <w:t>Forecast</w:t>
      </w:r>
      <w:r w:rsidR="00564102">
        <w:t>ing</w:t>
      </w:r>
      <w:r w:rsidR="00084F78">
        <w:t xml:space="preserve"> methods </w:t>
      </w:r>
      <w:r w:rsidR="00564102">
        <w:t xml:space="preserve">and data used in the EMP </w:t>
      </w:r>
      <w:r w:rsidR="00084F78">
        <w:t>should be open for public review</w:t>
      </w:r>
      <w:r w:rsidR="00C00691">
        <w:t>,</w:t>
      </w:r>
      <w:r w:rsidR="00084F78">
        <w:t xml:space="preserve"> and </w:t>
      </w:r>
      <w:r w:rsidR="00C00691">
        <w:t xml:space="preserve">open to </w:t>
      </w:r>
      <w:r w:rsidR="00084F78">
        <w:t>criticism</w:t>
      </w:r>
      <w:r w:rsidR="00564102">
        <w:t xml:space="preserve"> by academics and energy experts. This is part of public disclosure.</w:t>
      </w:r>
    </w:p>
    <w:p w14:paraId="2D7D1A97" w14:textId="77777777" w:rsidR="00C00691" w:rsidRDefault="00C00691" w:rsidP="009D4789">
      <w:pPr>
        <w:pStyle w:val="NoSpacing"/>
      </w:pPr>
    </w:p>
    <w:p w14:paraId="3371E8A6" w14:textId="01D10424" w:rsidR="00C00691" w:rsidRDefault="00C00691" w:rsidP="009D4789">
      <w:pPr>
        <w:pStyle w:val="NoSpacing"/>
      </w:pPr>
      <w:r>
        <w:t xml:space="preserve">PJM’s </w:t>
      </w:r>
      <w:r w:rsidR="00C60BEB">
        <w:t xml:space="preserve">net </w:t>
      </w:r>
      <w:r w:rsidR="00707E98">
        <w:t>energy forecast leaves out six categories of generation</w:t>
      </w:r>
      <w:r>
        <w:t xml:space="preserve"> I </w:t>
      </w:r>
      <w:r w:rsidR="00707E98">
        <w:t>identified in my August 11 statement</w:t>
      </w:r>
      <w:r w:rsidR="00C60BEB">
        <w:t xml:space="preserve">: rooftop solar, CHP, other distributed generation, backup generators, “behind-the-meter generation”, and generation which power plants consume on-site. </w:t>
      </w:r>
      <w:bookmarkStart w:id="0" w:name="_GoBack"/>
      <w:bookmarkEnd w:id="0"/>
      <w:r w:rsidR="00C60BEB">
        <w:t>The last four</w:t>
      </w:r>
      <w:r w:rsidR="00707E98">
        <w:t xml:space="preserve"> categories may have been </w:t>
      </w:r>
      <w:r w:rsidR="00C60BEB">
        <w:t>omitted from</w:t>
      </w:r>
      <w:r w:rsidR="00707E98">
        <w:t xml:space="preserve"> the recent greenhouse gas inventory study conducted by Rutgers as part of periodic updates to monitor compliance with the Global Warming Response Act. I have only briefly looked at Rutgers’ study</w:t>
      </w:r>
      <w:r w:rsidR="00C60BEB">
        <w:t xml:space="preserve">. </w:t>
      </w:r>
      <w:r w:rsidR="00E9310F">
        <w:t>Any future inventories that Rutgers conducts should include these categories to assure comprehensive coverage of emissions from New Jersey’s electric power sector.</w:t>
      </w:r>
    </w:p>
    <w:p w14:paraId="4A988476" w14:textId="77777777" w:rsidR="00E9310F" w:rsidRDefault="00E9310F" w:rsidP="009D4789">
      <w:pPr>
        <w:pStyle w:val="NoSpacing"/>
      </w:pPr>
    </w:p>
    <w:p w14:paraId="581E833A" w14:textId="7286977C" w:rsidR="00E9310F" w:rsidRDefault="00EB5387" w:rsidP="009D4789">
      <w:pPr>
        <w:pStyle w:val="NoSpacing"/>
      </w:pPr>
      <w:r>
        <w:t xml:space="preserve">Emissions projections based </w:t>
      </w:r>
      <w:r w:rsidR="004A727F">
        <w:t xml:space="preserve">on </w:t>
      </w:r>
      <w:r w:rsidR="003D6AD9">
        <w:t>the state’s</w:t>
      </w:r>
      <w:r w:rsidR="00E9310F">
        <w:t xml:space="preserve"> </w:t>
      </w:r>
      <w:r w:rsidR="003D6AD9">
        <w:t>promotion of natural gas</w:t>
      </w:r>
      <w:r w:rsidR="00E9310F">
        <w:t xml:space="preserve">, </w:t>
      </w:r>
      <w:r w:rsidR="003D6AD9">
        <w:t xml:space="preserve">our </w:t>
      </w:r>
      <w:r>
        <w:t>transportation priorities</w:t>
      </w:r>
      <w:r w:rsidR="001B77E8">
        <w:t xml:space="preserve"> that underfund mass transit</w:t>
      </w:r>
      <w:r w:rsidR="003D6AD9">
        <w:t>, and</w:t>
      </w:r>
      <w:r w:rsidR="00E9310F">
        <w:t xml:space="preserve"> a return to normal ec</w:t>
      </w:r>
      <w:r>
        <w:t>onomic growth would have been instructive</w:t>
      </w:r>
      <w:r w:rsidR="003D6AD9">
        <w:t>.</w:t>
      </w:r>
      <w:r>
        <w:t xml:space="preserve"> I understand that the Bloustein School’s projections have not been updated since 2008.</w:t>
      </w:r>
      <w:r w:rsidR="003D6AD9">
        <w:t xml:space="preserve"> </w:t>
      </w:r>
      <w:r w:rsidR="00E9310F">
        <w:t xml:space="preserve"> </w:t>
      </w:r>
    </w:p>
    <w:p w14:paraId="6699500F" w14:textId="77777777" w:rsidR="00553797" w:rsidRPr="00FC1AA2" w:rsidRDefault="00553797" w:rsidP="009D4789">
      <w:pPr>
        <w:pStyle w:val="NoSpacing"/>
      </w:pPr>
    </w:p>
    <w:p w14:paraId="5BB784A3" w14:textId="77777777" w:rsidR="00D31294" w:rsidRDefault="00D31294" w:rsidP="00F36C6B">
      <w:pPr>
        <w:pStyle w:val="NoSpacing"/>
      </w:pPr>
      <w:r w:rsidRPr="00F36C6B">
        <w:t>Yours truly,</w:t>
      </w:r>
    </w:p>
    <w:p w14:paraId="2597AF63" w14:textId="77777777" w:rsidR="00D31294" w:rsidRPr="00F36C6B" w:rsidRDefault="00D31294" w:rsidP="00F36C6B">
      <w:pPr>
        <w:pStyle w:val="NoSpacing"/>
      </w:pPr>
    </w:p>
    <w:p w14:paraId="47303850" w14:textId="77777777" w:rsidR="00D31294" w:rsidRPr="00F36C6B" w:rsidRDefault="00D31294" w:rsidP="00F36C6B">
      <w:pPr>
        <w:pStyle w:val="NoSpacing"/>
      </w:pPr>
      <w:r w:rsidRPr="00F36C6B">
        <w:t>Franklin Neubauer</w:t>
      </w:r>
    </w:p>
    <w:p w14:paraId="1FED3C9E" w14:textId="77777777" w:rsidR="00D31294" w:rsidRDefault="00D31294" w:rsidP="00F36C6B">
      <w:pPr>
        <w:pStyle w:val="NoSpacing"/>
      </w:pPr>
      <w:r w:rsidRPr="00F36C6B">
        <w:t>Principal</w:t>
      </w:r>
    </w:p>
    <w:p w14:paraId="6B3B2DEC" w14:textId="77777777" w:rsidR="00D31294" w:rsidRDefault="00D31294" w:rsidP="00F36C6B">
      <w:pPr>
        <w:pStyle w:val="NoSpacing"/>
      </w:pPr>
    </w:p>
    <w:p w14:paraId="585D9D3C" w14:textId="77777777" w:rsidR="00D31294" w:rsidRDefault="00D31294" w:rsidP="00F36C6B">
      <w:pPr>
        <w:pStyle w:val="NoSpacing"/>
      </w:pPr>
    </w:p>
    <w:sectPr w:rsidR="00D31294" w:rsidSect="00C85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EF1F0" w14:textId="77777777" w:rsidR="00092760" w:rsidRDefault="00092760">
      <w:r>
        <w:separator/>
      </w:r>
    </w:p>
  </w:endnote>
  <w:endnote w:type="continuationSeparator" w:id="0">
    <w:p w14:paraId="78FDD482" w14:textId="77777777" w:rsidR="00092760" w:rsidRDefault="0009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A1A63" w14:textId="77777777" w:rsidR="00CA192B" w:rsidRDefault="00CA19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A7DCD" w14:textId="77777777" w:rsidR="00CA192B" w:rsidRDefault="00CA19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B048B" w14:textId="77777777" w:rsidR="00CA192B" w:rsidRDefault="00CA19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3EBDF" w14:textId="77777777" w:rsidR="00092760" w:rsidRDefault="00092760">
      <w:r>
        <w:separator/>
      </w:r>
    </w:p>
  </w:footnote>
  <w:footnote w:type="continuationSeparator" w:id="0">
    <w:p w14:paraId="6337FD7E" w14:textId="77777777" w:rsidR="00092760" w:rsidRDefault="00092760">
      <w:r>
        <w:continuationSeparator/>
      </w:r>
    </w:p>
  </w:footnote>
  <w:footnote w:id="1">
    <w:p w14:paraId="301FD0B6" w14:textId="3C961C6D" w:rsidR="00564102" w:rsidRDefault="005641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53CB7">
        <w:t xml:space="preserve">To be comprehensive, </w:t>
      </w:r>
      <w:r w:rsidR="004E6E34">
        <w:t>forecasts should include</w:t>
      </w:r>
      <w:r>
        <w:t xml:space="preserve"> economic and demographic </w:t>
      </w:r>
      <w:r w:rsidR="00353CB7">
        <w:t>factors.</w:t>
      </w:r>
    </w:p>
  </w:footnote>
  <w:footnote w:id="2">
    <w:p w14:paraId="35E8410B" w14:textId="3CE1A275" w:rsidR="0044118B" w:rsidRDefault="0044118B" w:rsidP="0044118B">
      <w:pPr>
        <w:pStyle w:val="FootnoteText"/>
      </w:pPr>
      <w:r>
        <w:rPr>
          <w:rStyle w:val="FootnoteReference"/>
        </w:rPr>
        <w:footnoteRef/>
      </w:r>
      <w:r>
        <w:t xml:space="preserve"> The Sustainable FERC Project sponsored the Brattle Group in a 2014 report “Quantifying the Amount and Economic Impacts of Missing Energy Efficiency in PJM’s Load Forecast”.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61FDA" w14:textId="77777777" w:rsidR="00CA192B" w:rsidRDefault="00CA19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E0747" w14:textId="6CF74D91" w:rsidR="00E55BE7" w:rsidRDefault="00E55BE7">
    <w:pPr>
      <w:pStyle w:val="Header"/>
    </w:pPr>
    <w:r>
      <w:ptab w:relativeTo="margin" w:alignment="center" w:leader="none"/>
    </w:r>
    <w:r w:rsidRPr="006E2601">
      <w:fldChar w:fldCharType="begin"/>
    </w:r>
    <w:r w:rsidRPr="006E2601">
      <w:instrText xml:space="preserve"> PAGE   \* MERGEFORMAT </w:instrText>
    </w:r>
    <w:r w:rsidRPr="006E2601">
      <w:fldChar w:fldCharType="separate"/>
    </w:r>
    <w:r w:rsidR="00AF106B">
      <w:rPr>
        <w:noProof/>
      </w:rPr>
      <w:t>2</w:t>
    </w:r>
    <w:r w:rsidRPr="006E2601">
      <w:rPr>
        <w:noProof/>
      </w:rPr>
      <w:fldChar w:fldCharType="end"/>
    </w: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05B26" w14:textId="77777777" w:rsidR="00CA192B" w:rsidRDefault="00CA19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D1126"/>
    <w:multiLevelType w:val="hybridMultilevel"/>
    <w:tmpl w:val="2A80E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674A1"/>
    <w:multiLevelType w:val="hybridMultilevel"/>
    <w:tmpl w:val="47FE3F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27"/>
    <w:rsid w:val="000056CB"/>
    <w:rsid w:val="00010930"/>
    <w:rsid w:val="00023810"/>
    <w:rsid w:val="00034F8C"/>
    <w:rsid w:val="00046103"/>
    <w:rsid w:val="000461D3"/>
    <w:rsid w:val="000516E4"/>
    <w:rsid w:val="0005423B"/>
    <w:rsid w:val="00076D92"/>
    <w:rsid w:val="00084F78"/>
    <w:rsid w:val="00092760"/>
    <w:rsid w:val="000A610C"/>
    <w:rsid w:val="000D04D1"/>
    <w:rsid w:val="000D4193"/>
    <w:rsid w:val="000D6E17"/>
    <w:rsid w:val="000E1BCF"/>
    <w:rsid w:val="000E7449"/>
    <w:rsid w:val="000F2A07"/>
    <w:rsid w:val="00104CD5"/>
    <w:rsid w:val="0014249C"/>
    <w:rsid w:val="0015317A"/>
    <w:rsid w:val="00162199"/>
    <w:rsid w:val="00162C9A"/>
    <w:rsid w:val="0017198A"/>
    <w:rsid w:val="00174A45"/>
    <w:rsid w:val="001B77E8"/>
    <w:rsid w:val="001D66EF"/>
    <w:rsid w:val="001D7764"/>
    <w:rsid w:val="001E60FD"/>
    <w:rsid w:val="001F6F50"/>
    <w:rsid w:val="00206BEE"/>
    <w:rsid w:val="0022013B"/>
    <w:rsid w:val="00221266"/>
    <w:rsid w:val="00225E49"/>
    <w:rsid w:val="00251881"/>
    <w:rsid w:val="00254B9F"/>
    <w:rsid w:val="00280142"/>
    <w:rsid w:val="00286457"/>
    <w:rsid w:val="002920B0"/>
    <w:rsid w:val="002A0B37"/>
    <w:rsid w:val="002A7888"/>
    <w:rsid w:val="002B7AE5"/>
    <w:rsid w:val="002C077E"/>
    <w:rsid w:val="002C2825"/>
    <w:rsid w:val="002C6417"/>
    <w:rsid w:val="002C6463"/>
    <w:rsid w:val="002E03A2"/>
    <w:rsid w:val="002E18A3"/>
    <w:rsid w:val="002E6763"/>
    <w:rsid w:val="002F0B26"/>
    <w:rsid w:val="00302C28"/>
    <w:rsid w:val="00310E46"/>
    <w:rsid w:val="0035300D"/>
    <w:rsid w:val="00353CB7"/>
    <w:rsid w:val="00355A41"/>
    <w:rsid w:val="0035750B"/>
    <w:rsid w:val="00357DFE"/>
    <w:rsid w:val="00363B8A"/>
    <w:rsid w:val="00366E51"/>
    <w:rsid w:val="0037156C"/>
    <w:rsid w:val="0037431F"/>
    <w:rsid w:val="00374512"/>
    <w:rsid w:val="003841E5"/>
    <w:rsid w:val="00394C82"/>
    <w:rsid w:val="00394EB8"/>
    <w:rsid w:val="003A2103"/>
    <w:rsid w:val="003A39C4"/>
    <w:rsid w:val="003B3884"/>
    <w:rsid w:val="003B3C21"/>
    <w:rsid w:val="003B7793"/>
    <w:rsid w:val="003C0EC2"/>
    <w:rsid w:val="003C2A65"/>
    <w:rsid w:val="003C753A"/>
    <w:rsid w:val="003D6AD9"/>
    <w:rsid w:val="003F1BC0"/>
    <w:rsid w:val="003F5FAC"/>
    <w:rsid w:val="003F60FE"/>
    <w:rsid w:val="003F7670"/>
    <w:rsid w:val="004009B9"/>
    <w:rsid w:val="004017CF"/>
    <w:rsid w:val="0041572B"/>
    <w:rsid w:val="00437132"/>
    <w:rsid w:val="00437F2C"/>
    <w:rsid w:val="0044118B"/>
    <w:rsid w:val="0045361E"/>
    <w:rsid w:val="004600A3"/>
    <w:rsid w:val="00473142"/>
    <w:rsid w:val="004762EF"/>
    <w:rsid w:val="00484E13"/>
    <w:rsid w:val="0048519C"/>
    <w:rsid w:val="0048568E"/>
    <w:rsid w:val="00492B7F"/>
    <w:rsid w:val="004A0397"/>
    <w:rsid w:val="004A5B22"/>
    <w:rsid w:val="004A727F"/>
    <w:rsid w:val="004B6381"/>
    <w:rsid w:val="004B74A6"/>
    <w:rsid w:val="004C0AD2"/>
    <w:rsid w:val="004C5558"/>
    <w:rsid w:val="004C7FD8"/>
    <w:rsid w:val="004D0D99"/>
    <w:rsid w:val="004D57EC"/>
    <w:rsid w:val="004E6E34"/>
    <w:rsid w:val="004F5D56"/>
    <w:rsid w:val="00503237"/>
    <w:rsid w:val="0051067F"/>
    <w:rsid w:val="00532C8D"/>
    <w:rsid w:val="00536111"/>
    <w:rsid w:val="00553797"/>
    <w:rsid w:val="005565F0"/>
    <w:rsid w:val="00564102"/>
    <w:rsid w:val="00564BBA"/>
    <w:rsid w:val="005710A1"/>
    <w:rsid w:val="005726E4"/>
    <w:rsid w:val="005754A4"/>
    <w:rsid w:val="00593B10"/>
    <w:rsid w:val="005A6CB1"/>
    <w:rsid w:val="005B1493"/>
    <w:rsid w:val="005B78E3"/>
    <w:rsid w:val="005C132A"/>
    <w:rsid w:val="005C6337"/>
    <w:rsid w:val="005D1022"/>
    <w:rsid w:val="005E3B88"/>
    <w:rsid w:val="005E4A76"/>
    <w:rsid w:val="005E5DB4"/>
    <w:rsid w:val="005F1C1D"/>
    <w:rsid w:val="005F603A"/>
    <w:rsid w:val="005F6FBC"/>
    <w:rsid w:val="005F7F62"/>
    <w:rsid w:val="0060153C"/>
    <w:rsid w:val="00602A54"/>
    <w:rsid w:val="00603250"/>
    <w:rsid w:val="00603565"/>
    <w:rsid w:val="0060650A"/>
    <w:rsid w:val="00612C8A"/>
    <w:rsid w:val="0061425A"/>
    <w:rsid w:val="00614BE6"/>
    <w:rsid w:val="006150DF"/>
    <w:rsid w:val="006154F5"/>
    <w:rsid w:val="00616FFA"/>
    <w:rsid w:val="00643573"/>
    <w:rsid w:val="00645CB2"/>
    <w:rsid w:val="00646E0C"/>
    <w:rsid w:val="006474F2"/>
    <w:rsid w:val="00650E48"/>
    <w:rsid w:val="006514C7"/>
    <w:rsid w:val="006517EE"/>
    <w:rsid w:val="00654A78"/>
    <w:rsid w:val="0065664C"/>
    <w:rsid w:val="00661F8C"/>
    <w:rsid w:val="00680794"/>
    <w:rsid w:val="00685340"/>
    <w:rsid w:val="00697500"/>
    <w:rsid w:val="006A0CCB"/>
    <w:rsid w:val="006B4B2F"/>
    <w:rsid w:val="006C119E"/>
    <w:rsid w:val="006C15E5"/>
    <w:rsid w:val="006D59E8"/>
    <w:rsid w:val="006E1559"/>
    <w:rsid w:val="006E2601"/>
    <w:rsid w:val="006E40DA"/>
    <w:rsid w:val="006F320D"/>
    <w:rsid w:val="006F6B12"/>
    <w:rsid w:val="00707E98"/>
    <w:rsid w:val="00712B91"/>
    <w:rsid w:val="007154DB"/>
    <w:rsid w:val="007330BB"/>
    <w:rsid w:val="00740FFF"/>
    <w:rsid w:val="00750358"/>
    <w:rsid w:val="00750D9D"/>
    <w:rsid w:val="00753980"/>
    <w:rsid w:val="0078173F"/>
    <w:rsid w:val="00783468"/>
    <w:rsid w:val="007837DB"/>
    <w:rsid w:val="00787995"/>
    <w:rsid w:val="0079431D"/>
    <w:rsid w:val="00796A8F"/>
    <w:rsid w:val="007B4FFA"/>
    <w:rsid w:val="007B70CC"/>
    <w:rsid w:val="007B755E"/>
    <w:rsid w:val="007D23AC"/>
    <w:rsid w:val="007D4859"/>
    <w:rsid w:val="007D6F8D"/>
    <w:rsid w:val="007D7C95"/>
    <w:rsid w:val="007E06B5"/>
    <w:rsid w:val="007E45BF"/>
    <w:rsid w:val="007F6D28"/>
    <w:rsid w:val="00803679"/>
    <w:rsid w:val="00803C30"/>
    <w:rsid w:val="00803FD5"/>
    <w:rsid w:val="00814DFC"/>
    <w:rsid w:val="008151C6"/>
    <w:rsid w:val="00823FCF"/>
    <w:rsid w:val="00830AF6"/>
    <w:rsid w:val="00830D06"/>
    <w:rsid w:val="00834458"/>
    <w:rsid w:val="008345FF"/>
    <w:rsid w:val="00843B28"/>
    <w:rsid w:val="00847AD7"/>
    <w:rsid w:val="00856DB0"/>
    <w:rsid w:val="0086725E"/>
    <w:rsid w:val="008A39F5"/>
    <w:rsid w:val="008B072E"/>
    <w:rsid w:val="008B6D15"/>
    <w:rsid w:val="008C0939"/>
    <w:rsid w:val="008D5930"/>
    <w:rsid w:val="008D6F14"/>
    <w:rsid w:val="008D77E5"/>
    <w:rsid w:val="009041E3"/>
    <w:rsid w:val="00907AF6"/>
    <w:rsid w:val="00907BBA"/>
    <w:rsid w:val="00910FF1"/>
    <w:rsid w:val="00921296"/>
    <w:rsid w:val="00924EEB"/>
    <w:rsid w:val="00932043"/>
    <w:rsid w:val="0094274B"/>
    <w:rsid w:val="00960B3B"/>
    <w:rsid w:val="00961C98"/>
    <w:rsid w:val="00970F2F"/>
    <w:rsid w:val="0097583D"/>
    <w:rsid w:val="00976758"/>
    <w:rsid w:val="00991A29"/>
    <w:rsid w:val="009959A6"/>
    <w:rsid w:val="009A3826"/>
    <w:rsid w:val="009A5CF2"/>
    <w:rsid w:val="009B07DE"/>
    <w:rsid w:val="009B0CCB"/>
    <w:rsid w:val="009B44EA"/>
    <w:rsid w:val="009C512C"/>
    <w:rsid w:val="009D0764"/>
    <w:rsid w:val="009D4789"/>
    <w:rsid w:val="009E0682"/>
    <w:rsid w:val="009E2C3E"/>
    <w:rsid w:val="009F4BC5"/>
    <w:rsid w:val="00A0021E"/>
    <w:rsid w:val="00A05CF7"/>
    <w:rsid w:val="00A12E94"/>
    <w:rsid w:val="00A15053"/>
    <w:rsid w:val="00A1662A"/>
    <w:rsid w:val="00A206B8"/>
    <w:rsid w:val="00A20A27"/>
    <w:rsid w:val="00A32449"/>
    <w:rsid w:val="00A34DAA"/>
    <w:rsid w:val="00A60A9A"/>
    <w:rsid w:val="00A61BC0"/>
    <w:rsid w:val="00A70C5E"/>
    <w:rsid w:val="00A723C3"/>
    <w:rsid w:val="00A73CD0"/>
    <w:rsid w:val="00A97314"/>
    <w:rsid w:val="00AA4D0B"/>
    <w:rsid w:val="00AA5DA9"/>
    <w:rsid w:val="00AA6E76"/>
    <w:rsid w:val="00AB0076"/>
    <w:rsid w:val="00AB2B01"/>
    <w:rsid w:val="00AD57D6"/>
    <w:rsid w:val="00AE3345"/>
    <w:rsid w:val="00AE343B"/>
    <w:rsid w:val="00AE6677"/>
    <w:rsid w:val="00AF106B"/>
    <w:rsid w:val="00AF2CE3"/>
    <w:rsid w:val="00AF6528"/>
    <w:rsid w:val="00B05F3F"/>
    <w:rsid w:val="00B2650D"/>
    <w:rsid w:val="00B31D1B"/>
    <w:rsid w:val="00B33975"/>
    <w:rsid w:val="00B411CE"/>
    <w:rsid w:val="00B44240"/>
    <w:rsid w:val="00B45BEC"/>
    <w:rsid w:val="00B64C31"/>
    <w:rsid w:val="00B7340B"/>
    <w:rsid w:val="00B737E3"/>
    <w:rsid w:val="00B73F34"/>
    <w:rsid w:val="00B74B8E"/>
    <w:rsid w:val="00B94772"/>
    <w:rsid w:val="00BA2617"/>
    <w:rsid w:val="00BB156E"/>
    <w:rsid w:val="00BB307D"/>
    <w:rsid w:val="00BC3A6D"/>
    <w:rsid w:val="00BC7DD3"/>
    <w:rsid w:val="00BD15ED"/>
    <w:rsid w:val="00BD1D4A"/>
    <w:rsid w:val="00BD453A"/>
    <w:rsid w:val="00BE038F"/>
    <w:rsid w:val="00BF3D59"/>
    <w:rsid w:val="00BF5362"/>
    <w:rsid w:val="00BF64DE"/>
    <w:rsid w:val="00C00691"/>
    <w:rsid w:val="00C02171"/>
    <w:rsid w:val="00C02F95"/>
    <w:rsid w:val="00C0450C"/>
    <w:rsid w:val="00C13980"/>
    <w:rsid w:val="00C21729"/>
    <w:rsid w:val="00C24272"/>
    <w:rsid w:val="00C25BCA"/>
    <w:rsid w:val="00C265D9"/>
    <w:rsid w:val="00C26C1C"/>
    <w:rsid w:val="00C26D35"/>
    <w:rsid w:val="00C277FC"/>
    <w:rsid w:val="00C30B5C"/>
    <w:rsid w:val="00C46DA2"/>
    <w:rsid w:val="00C470C2"/>
    <w:rsid w:val="00C50480"/>
    <w:rsid w:val="00C60BEB"/>
    <w:rsid w:val="00C71682"/>
    <w:rsid w:val="00C82F37"/>
    <w:rsid w:val="00C85153"/>
    <w:rsid w:val="00C85AC1"/>
    <w:rsid w:val="00C94BF3"/>
    <w:rsid w:val="00CA0C75"/>
    <w:rsid w:val="00CA192B"/>
    <w:rsid w:val="00CB0120"/>
    <w:rsid w:val="00CB26BD"/>
    <w:rsid w:val="00CB5AC8"/>
    <w:rsid w:val="00CB7333"/>
    <w:rsid w:val="00CC443A"/>
    <w:rsid w:val="00CC7BDE"/>
    <w:rsid w:val="00CD0627"/>
    <w:rsid w:val="00CF3B36"/>
    <w:rsid w:val="00CF3C8E"/>
    <w:rsid w:val="00CF5EF7"/>
    <w:rsid w:val="00CF6033"/>
    <w:rsid w:val="00D0036B"/>
    <w:rsid w:val="00D01A85"/>
    <w:rsid w:val="00D03421"/>
    <w:rsid w:val="00D10E55"/>
    <w:rsid w:val="00D31294"/>
    <w:rsid w:val="00D401A4"/>
    <w:rsid w:val="00D4367E"/>
    <w:rsid w:val="00D46544"/>
    <w:rsid w:val="00D468A9"/>
    <w:rsid w:val="00D61BBF"/>
    <w:rsid w:val="00D717C3"/>
    <w:rsid w:val="00D727CB"/>
    <w:rsid w:val="00D754BA"/>
    <w:rsid w:val="00D8139F"/>
    <w:rsid w:val="00D84F51"/>
    <w:rsid w:val="00D90A48"/>
    <w:rsid w:val="00D9592C"/>
    <w:rsid w:val="00DA3072"/>
    <w:rsid w:val="00DA65F4"/>
    <w:rsid w:val="00DB7615"/>
    <w:rsid w:val="00DC3C18"/>
    <w:rsid w:val="00DC4664"/>
    <w:rsid w:val="00DD4EC9"/>
    <w:rsid w:val="00DE14E5"/>
    <w:rsid w:val="00DE16DC"/>
    <w:rsid w:val="00DE5143"/>
    <w:rsid w:val="00E00C3E"/>
    <w:rsid w:val="00E03912"/>
    <w:rsid w:val="00E0420B"/>
    <w:rsid w:val="00E12933"/>
    <w:rsid w:val="00E15797"/>
    <w:rsid w:val="00E33727"/>
    <w:rsid w:val="00E46966"/>
    <w:rsid w:val="00E505AF"/>
    <w:rsid w:val="00E50A35"/>
    <w:rsid w:val="00E5204B"/>
    <w:rsid w:val="00E55BE7"/>
    <w:rsid w:val="00E56106"/>
    <w:rsid w:val="00E67C4E"/>
    <w:rsid w:val="00E769F0"/>
    <w:rsid w:val="00E81F20"/>
    <w:rsid w:val="00E859F6"/>
    <w:rsid w:val="00E9310F"/>
    <w:rsid w:val="00EA4E55"/>
    <w:rsid w:val="00EB10A0"/>
    <w:rsid w:val="00EB5387"/>
    <w:rsid w:val="00EB7463"/>
    <w:rsid w:val="00EB78CD"/>
    <w:rsid w:val="00EC0665"/>
    <w:rsid w:val="00EC0ECC"/>
    <w:rsid w:val="00EC3EDF"/>
    <w:rsid w:val="00EC59A2"/>
    <w:rsid w:val="00ED18C9"/>
    <w:rsid w:val="00EE20A6"/>
    <w:rsid w:val="00EE2441"/>
    <w:rsid w:val="00EE2813"/>
    <w:rsid w:val="00EF0B96"/>
    <w:rsid w:val="00EF78CD"/>
    <w:rsid w:val="00F037F8"/>
    <w:rsid w:val="00F0588D"/>
    <w:rsid w:val="00F1489E"/>
    <w:rsid w:val="00F24DF0"/>
    <w:rsid w:val="00F25D5A"/>
    <w:rsid w:val="00F265FD"/>
    <w:rsid w:val="00F279E1"/>
    <w:rsid w:val="00F36C6B"/>
    <w:rsid w:val="00F37083"/>
    <w:rsid w:val="00F37C8B"/>
    <w:rsid w:val="00F44F3B"/>
    <w:rsid w:val="00F47BF3"/>
    <w:rsid w:val="00F507F0"/>
    <w:rsid w:val="00F52365"/>
    <w:rsid w:val="00F52F69"/>
    <w:rsid w:val="00F55B4D"/>
    <w:rsid w:val="00F653F6"/>
    <w:rsid w:val="00F71A6F"/>
    <w:rsid w:val="00F7646A"/>
    <w:rsid w:val="00F828CC"/>
    <w:rsid w:val="00F83A83"/>
    <w:rsid w:val="00F8641F"/>
    <w:rsid w:val="00F92651"/>
    <w:rsid w:val="00FA1057"/>
    <w:rsid w:val="00FA381F"/>
    <w:rsid w:val="00FC058B"/>
    <w:rsid w:val="00FC1AA2"/>
    <w:rsid w:val="00FC397F"/>
    <w:rsid w:val="00FE3345"/>
    <w:rsid w:val="00FE34B4"/>
    <w:rsid w:val="00FF2DDD"/>
    <w:rsid w:val="00FF3E55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2B2A9A"/>
  <w15:chartTrackingRefBased/>
  <w15:docId w15:val="{BC8A48AB-C34D-43DD-9BAC-9AE3E2D4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head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C6B"/>
  </w:style>
  <w:style w:type="paragraph" w:styleId="Heading1">
    <w:name w:val="heading 1"/>
    <w:basedOn w:val="Normal"/>
    <w:next w:val="Normal"/>
    <w:link w:val="Heading1Char"/>
    <w:uiPriority w:val="9"/>
    <w:qFormat/>
    <w:rsid w:val="00FC1AA2"/>
    <w:pPr>
      <w:keepNext/>
      <w:keepLines/>
      <w:spacing w:before="320" w:after="40"/>
      <w:outlineLvl w:val="0"/>
    </w:pPr>
    <w:rPr>
      <w:rFonts w:eastAsiaTheme="majorEastAsia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C6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6C6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6C6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6C6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6C6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6C6B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6C6B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6C6B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0A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474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4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70C2"/>
  </w:style>
  <w:style w:type="paragraph" w:styleId="FootnoteText">
    <w:name w:val="footnote text"/>
    <w:basedOn w:val="Normal"/>
    <w:semiHidden/>
    <w:rsid w:val="009B0CCB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C1AA2"/>
    <w:rPr>
      <w:rFonts w:eastAsiaTheme="majorEastAsia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6C6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6C6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6C6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6C6B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6C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6C6B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6C6B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6C6B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6C6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36C6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36C6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6C6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6C6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36C6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F36C6B"/>
    <w:rPr>
      <w:i/>
      <w:iCs/>
      <w:color w:val="auto"/>
    </w:rPr>
  </w:style>
  <w:style w:type="paragraph" w:styleId="NoSpacing">
    <w:name w:val="No Spacing"/>
    <w:uiPriority w:val="1"/>
    <w:qFormat/>
    <w:rsid w:val="009E2C3E"/>
    <w:pPr>
      <w:spacing w:after="0" w:line="240" w:lineRule="auto"/>
    </w:pPr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36C6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36C6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6C6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6C6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F36C6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F36C6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36C6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36C6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F36C6B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6C6B"/>
    <w:pPr>
      <w:outlineLvl w:val="9"/>
    </w:pPr>
  </w:style>
  <w:style w:type="character" w:styleId="FootnoteReference">
    <w:name w:val="footnote reference"/>
    <w:basedOn w:val="DefaultParagraphFont"/>
    <w:uiPriority w:val="99"/>
    <w:unhideWhenUsed/>
    <w:rsid w:val="00FC1AA2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7E06B5"/>
  </w:style>
  <w:style w:type="paragraph" w:styleId="BalloonText">
    <w:name w:val="Balloon Text"/>
    <w:basedOn w:val="Normal"/>
    <w:link w:val="BalloonTextChar"/>
    <w:rsid w:val="002B7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A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9B0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07DE"/>
    <w:pPr>
      <w:spacing w:after="0" w:line="240" w:lineRule="auto"/>
      <w:jc w:val="left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07DE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4274B"/>
    <w:pPr>
      <w:spacing w:after="160"/>
      <w:jc w:val="both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274B"/>
    <w:rPr>
      <w:rFonts w:eastAsiaTheme="minorHAnsi"/>
      <w:b/>
      <w:bCs/>
      <w:sz w:val="20"/>
      <w:szCs w:val="20"/>
    </w:rPr>
  </w:style>
  <w:style w:type="paragraph" w:styleId="EndnoteText">
    <w:name w:val="endnote text"/>
    <w:basedOn w:val="Normal"/>
    <w:link w:val="EndnoteTextChar"/>
    <w:rsid w:val="0056410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64102"/>
    <w:rPr>
      <w:sz w:val="20"/>
      <w:szCs w:val="20"/>
    </w:rPr>
  </w:style>
  <w:style w:type="character" w:styleId="EndnoteReference">
    <w:name w:val="endnote reference"/>
    <w:basedOn w:val="DefaultParagraphFont"/>
    <w:rsid w:val="005641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361DD-9D21-4116-93B7-C17DA85A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METRICS</vt:lpstr>
    </vt:vector>
  </TitlesOfParts>
  <Company>Core Metrics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METRICS</dc:title>
  <dc:subject/>
  <dc:creator>Franklin Neubauer</dc:creator>
  <cp:keywords/>
  <dc:description/>
  <cp:lastModifiedBy>Franklin Neubauer</cp:lastModifiedBy>
  <cp:revision>5</cp:revision>
  <cp:lastPrinted>2015-08-24T20:05:00Z</cp:lastPrinted>
  <dcterms:created xsi:type="dcterms:W3CDTF">2015-08-25T03:56:00Z</dcterms:created>
  <dcterms:modified xsi:type="dcterms:W3CDTF">2015-08-26T19:46:00Z</dcterms:modified>
</cp:coreProperties>
</file>